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8E4E6" w14:textId="6315C2FF" w:rsidR="00615513" w:rsidRPr="00D86DC5" w:rsidRDefault="00615513" w:rsidP="00582EFE">
      <w:pPr>
        <w:spacing w:after="0" w:line="276" w:lineRule="auto"/>
        <w:ind w:right="282"/>
        <w:jc w:val="center"/>
        <w:rPr>
          <w:rFonts w:ascii="Garamond" w:hAnsi="Garamond" w:cs="Times New Roman"/>
          <w:b/>
          <w:bCs/>
          <w:noProof/>
          <w:sz w:val="23"/>
          <w:szCs w:val="23"/>
          <w:u w:val="single"/>
        </w:rPr>
      </w:pPr>
      <w:bookmarkStart w:id="0" w:name="_Hlk42070647"/>
      <w:bookmarkStart w:id="1" w:name="_Hlk41637259"/>
      <w:r w:rsidRPr="00D86DC5">
        <w:rPr>
          <w:rFonts w:ascii="Garamond" w:hAnsi="Garamond" w:cs="Times New Roman"/>
          <w:b/>
          <w:bCs/>
          <w:noProof/>
          <w:sz w:val="23"/>
          <w:szCs w:val="23"/>
          <w:u w:val="single"/>
          <w:lang w:eastAsia="it-IT"/>
        </w:rPr>
        <w:drawing>
          <wp:inline distT="0" distB="0" distL="0" distR="0" wp14:anchorId="406EDA32" wp14:editId="77B58176">
            <wp:extent cx="2152650" cy="1982419"/>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892" t="2678" b="1190"/>
                    <a:stretch/>
                  </pic:blipFill>
                  <pic:spPr bwMode="auto">
                    <a:xfrm>
                      <a:off x="0" y="0"/>
                      <a:ext cx="2159469" cy="1988699"/>
                    </a:xfrm>
                    <a:prstGeom prst="rect">
                      <a:avLst/>
                    </a:prstGeom>
                    <a:noFill/>
                    <a:ln>
                      <a:noFill/>
                    </a:ln>
                    <a:extLst>
                      <a:ext uri="{53640926-AAD7-44D8-BBD7-CCE9431645EC}">
                        <a14:shadowObscured xmlns:a14="http://schemas.microsoft.com/office/drawing/2010/main"/>
                      </a:ext>
                    </a:extLst>
                  </pic:spPr>
                </pic:pic>
              </a:graphicData>
            </a:graphic>
          </wp:inline>
        </w:drawing>
      </w:r>
    </w:p>
    <w:p w14:paraId="62722C96" w14:textId="77777777" w:rsidR="00615513" w:rsidRPr="00D86DC5" w:rsidRDefault="00615513" w:rsidP="00582EFE">
      <w:pPr>
        <w:spacing w:after="0" w:line="276" w:lineRule="auto"/>
        <w:ind w:right="282"/>
        <w:jc w:val="center"/>
        <w:rPr>
          <w:rFonts w:ascii="Garamond" w:hAnsi="Garamond" w:cs="Times New Roman"/>
          <w:b/>
          <w:bCs/>
          <w:sz w:val="23"/>
          <w:szCs w:val="23"/>
        </w:rPr>
      </w:pPr>
      <w:r w:rsidRPr="00D86DC5">
        <w:rPr>
          <w:rFonts w:ascii="Garamond" w:hAnsi="Garamond" w:cs="Times New Roman"/>
          <w:b/>
          <w:bCs/>
          <w:sz w:val="23"/>
          <w:szCs w:val="23"/>
        </w:rPr>
        <w:t>GIUNTA REGIONALE</w:t>
      </w:r>
    </w:p>
    <w:p w14:paraId="512558F2" w14:textId="77777777" w:rsidR="00615513" w:rsidRPr="005D758A" w:rsidRDefault="00615513" w:rsidP="00582EFE">
      <w:pPr>
        <w:spacing w:after="0" w:line="276" w:lineRule="auto"/>
        <w:ind w:right="-1"/>
        <w:jc w:val="center"/>
        <w:rPr>
          <w:rFonts w:ascii="Garamond" w:eastAsia="Calibri" w:hAnsi="Garamond" w:cs="Times New Roman"/>
          <w:sz w:val="23"/>
          <w:szCs w:val="23"/>
        </w:rPr>
      </w:pPr>
    </w:p>
    <w:p w14:paraId="20D22FAE" w14:textId="77777777" w:rsidR="00615513" w:rsidRPr="005D758A" w:rsidRDefault="00615513" w:rsidP="00582EFE">
      <w:pPr>
        <w:spacing w:after="0" w:line="276" w:lineRule="auto"/>
        <w:ind w:right="282"/>
        <w:jc w:val="center"/>
        <w:rPr>
          <w:rFonts w:ascii="Garamond" w:hAnsi="Garamond" w:cs="Times New Roman"/>
          <w:sz w:val="23"/>
          <w:szCs w:val="23"/>
        </w:rPr>
      </w:pPr>
      <w:r w:rsidRPr="005D758A">
        <w:rPr>
          <w:rFonts w:ascii="Garamond" w:hAnsi="Garamond" w:cs="Times New Roman"/>
          <w:bCs/>
          <w:noProof/>
          <w:sz w:val="23"/>
          <w:szCs w:val="23"/>
        </w:rPr>
        <w:t xml:space="preserve"> </w:t>
      </w:r>
      <w:r w:rsidRPr="005D758A">
        <w:rPr>
          <w:rFonts w:ascii="Garamond" w:hAnsi="Garamond" w:cs="Times New Roman"/>
          <w:noProof/>
          <w:sz w:val="23"/>
          <w:szCs w:val="23"/>
          <w:lang w:eastAsia="it-IT"/>
        </w:rPr>
        <w:drawing>
          <wp:inline distT="0" distB="0" distL="0" distR="0" wp14:anchorId="09347FC9" wp14:editId="3E16F57F">
            <wp:extent cx="5657850" cy="3552825"/>
            <wp:effectExtent l="0" t="0" r="0" b="952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008" t="5914" r="2055" b="701"/>
                    <a:stretch/>
                  </pic:blipFill>
                  <pic:spPr bwMode="auto">
                    <a:xfrm>
                      <a:off x="0" y="0"/>
                      <a:ext cx="5664912" cy="3557260"/>
                    </a:xfrm>
                    <a:prstGeom prst="rect">
                      <a:avLst/>
                    </a:prstGeom>
                    <a:noFill/>
                    <a:ln>
                      <a:noFill/>
                    </a:ln>
                    <a:extLst>
                      <a:ext uri="{53640926-AAD7-44D8-BBD7-CCE9431645EC}">
                        <a14:shadowObscured xmlns:a14="http://schemas.microsoft.com/office/drawing/2010/main"/>
                      </a:ext>
                    </a:extLst>
                  </pic:spPr>
                </pic:pic>
              </a:graphicData>
            </a:graphic>
          </wp:inline>
        </w:drawing>
      </w:r>
      <w:r w:rsidRPr="005D758A">
        <w:rPr>
          <w:rFonts w:ascii="Garamond" w:hAnsi="Garamond" w:cs="Times New Roman"/>
          <w:sz w:val="23"/>
          <w:szCs w:val="23"/>
        </w:rPr>
        <w:t xml:space="preserve">  </w:t>
      </w:r>
    </w:p>
    <w:p w14:paraId="3A7BF20A" w14:textId="77777777" w:rsidR="00615513" w:rsidRPr="005D758A" w:rsidRDefault="00615513" w:rsidP="00582EFE">
      <w:pPr>
        <w:spacing w:after="0" w:line="276" w:lineRule="auto"/>
        <w:ind w:right="-1"/>
        <w:jc w:val="center"/>
        <w:rPr>
          <w:rFonts w:ascii="Garamond" w:eastAsia="Calibri" w:hAnsi="Garamond" w:cs="Times New Roman"/>
          <w:sz w:val="23"/>
          <w:szCs w:val="23"/>
        </w:rPr>
      </w:pPr>
    </w:p>
    <w:p w14:paraId="5CC5DE3F" w14:textId="6C49B729" w:rsidR="005D758A" w:rsidRPr="005D758A" w:rsidRDefault="005D758A" w:rsidP="00582EFE">
      <w:pPr>
        <w:spacing w:after="0" w:line="276" w:lineRule="auto"/>
        <w:ind w:right="282"/>
        <w:jc w:val="center"/>
        <w:rPr>
          <w:rFonts w:ascii="Garamond" w:hAnsi="Garamond" w:cs="Times New Roman"/>
          <w:b/>
          <w:bCs/>
          <w:sz w:val="28"/>
          <w:szCs w:val="28"/>
        </w:rPr>
      </w:pPr>
      <w:r w:rsidRPr="005D758A">
        <w:rPr>
          <w:rFonts w:ascii="Garamond" w:hAnsi="Garamond" w:cs="Times New Roman"/>
          <w:b/>
          <w:bCs/>
          <w:sz w:val="28"/>
          <w:szCs w:val="28"/>
        </w:rPr>
        <w:t>PIANO TRIENNALE DI PREVENZIONE DELLA CORRUZIONE E DELLA TRASPARENZA (PTPCT)</w:t>
      </w:r>
    </w:p>
    <w:p w14:paraId="14F81F02" w14:textId="77777777" w:rsidR="005D758A" w:rsidRDefault="000A0752" w:rsidP="00582EFE">
      <w:pPr>
        <w:spacing w:after="0" w:line="276" w:lineRule="auto"/>
        <w:ind w:right="282"/>
        <w:jc w:val="center"/>
        <w:rPr>
          <w:rFonts w:ascii="Garamond" w:hAnsi="Garamond" w:cs="Times New Roman"/>
          <w:b/>
          <w:bCs/>
          <w:sz w:val="28"/>
          <w:szCs w:val="28"/>
        </w:rPr>
      </w:pPr>
      <w:r w:rsidRPr="005D758A">
        <w:rPr>
          <w:rFonts w:ascii="Garamond" w:hAnsi="Garamond" w:cs="Times New Roman"/>
          <w:b/>
          <w:bCs/>
          <w:sz w:val="28"/>
          <w:szCs w:val="28"/>
        </w:rPr>
        <w:t xml:space="preserve">PIANO INTEGRATO DI ATTIVITÀ E ORGANIZZAZIONE </w:t>
      </w:r>
      <w:r w:rsidR="005D758A" w:rsidRPr="005D758A">
        <w:rPr>
          <w:rFonts w:ascii="Garamond" w:hAnsi="Garamond" w:cs="Times New Roman"/>
          <w:b/>
          <w:bCs/>
          <w:sz w:val="28"/>
          <w:szCs w:val="28"/>
        </w:rPr>
        <w:t>(PIAO)</w:t>
      </w:r>
    </w:p>
    <w:p w14:paraId="68A45CE6" w14:textId="77777777" w:rsidR="005D758A" w:rsidRPr="005D758A" w:rsidRDefault="005D758A" w:rsidP="00582EFE">
      <w:pPr>
        <w:spacing w:after="0" w:line="276" w:lineRule="auto"/>
        <w:ind w:right="282"/>
        <w:jc w:val="center"/>
        <w:rPr>
          <w:rFonts w:ascii="Garamond" w:hAnsi="Garamond" w:cs="Times New Roman"/>
          <w:bCs/>
          <w:sz w:val="24"/>
          <w:szCs w:val="24"/>
        </w:rPr>
      </w:pPr>
      <w:r w:rsidRPr="005D758A">
        <w:rPr>
          <w:rFonts w:ascii="Garamond" w:hAnsi="Garamond" w:cs="Times New Roman"/>
          <w:bCs/>
          <w:sz w:val="24"/>
          <w:szCs w:val="24"/>
        </w:rPr>
        <w:t>2.4 “RISCHI CORRUTTIVI E TRASPARENZA”</w:t>
      </w:r>
    </w:p>
    <w:p w14:paraId="453D1C80" w14:textId="13BA2EDC" w:rsidR="005D758A" w:rsidRPr="005D758A" w:rsidRDefault="005D758A" w:rsidP="00582EFE">
      <w:pPr>
        <w:spacing w:after="0" w:line="276" w:lineRule="auto"/>
        <w:ind w:right="282"/>
        <w:jc w:val="center"/>
        <w:rPr>
          <w:rFonts w:ascii="Garamond" w:hAnsi="Garamond" w:cs="Times New Roman"/>
          <w:bCs/>
          <w:sz w:val="24"/>
          <w:szCs w:val="24"/>
        </w:rPr>
      </w:pPr>
      <w:r w:rsidRPr="005D758A">
        <w:rPr>
          <w:rFonts w:ascii="Garamond" w:hAnsi="Garamond" w:cs="Times New Roman"/>
          <w:bCs/>
          <w:sz w:val="24"/>
          <w:szCs w:val="24"/>
        </w:rPr>
        <w:t>4.2 “MONITORAGGIO RISCHI CORRUTTIVI E TRASPARENZA”</w:t>
      </w:r>
    </w:p>
    <w:p w14:paraId="50218711" w14:textId="1574293F" w:rsidR="000A0752" w:rsidRPr="005D758A" w:rsidRDefault="005D758A" w:rsidP="00582EFE">
      <w:pPr>
        <w:spacing w:after="0" w:line="276" w:lineRule="auto"/>
        <w:ind w:right="282"/>
        <w:jc w:val="center"/>
        <w:rPr>
          <w:rFonts w:ascii="Garamond" w:hAnsi="Garamond" w:cs="Times New Roman"/>
          <w:b/>
          <w:bCs/>
          <w:sz w:val="28"/>
          <w:szCs w:val="28"/>
        </w:rPr>
      </w:pPr>
      <w:r>
        <w:rPr>
          <w:rFonts w:ascii="Garamond" w:hAnsi="Garamond" w:cs="Times New Roman"/>
          <w:b/>
          <w:bCs/>
          <w:sz w:val="28"/>
          <w:szCs w:val="28"/>
        </w:rPr>
        <w:t>2023-2025</w:t>
      </w:r>
    </w:p>
    <w:p w14:paraId="57E6FD11" w14:textId="22895861" w:rsidR="000A0752" w:rsidRPr="005D758A" w:rsidRDefault="000A0752" w:rsidP="00582EFE">
      <w:pPr>
        <w:spacing w:after="0" w:line="276" w:lineRule="auto"/>
        <w:ind w:right="-1"/>
        <w:jc w:val="center"/>
        <w:rPr>
          <w:rFonts w:ascii="Garamond" w:eastAsia="Calibri" w:hAnsi="Garamond" w:cs="Times New Roman"/>
          <w:sz w:val="23"/>
          <w:szCs w:val="23"/>
        </w:rPr>
      </w:pPr>
    </w:p>
    <w:p w14:paraId="0A104055" w14:textId="3299FD78" w:rsidR="000A0752" w:rsidRPr="00E4511B" w:rsidRDefault="000A0752" w:rsidP="00582EFE">
      <w:pPr>
        <w:spacing w:after="0" w:line="276" w:lineRule="auto"/>
        <w:ind w:right="282"/>
        <w:jc w:val="center"/>
        <w:rPr>
          <w:rFonts w:ascii="Garamond" w:hAnsi="Garamond" w:cs="Times New Roman"/>
          <w:b/>
          <w:bCs/>
          <w:sz w:val="28"/>
          <w:szCs w:val="28"/>
        </w:rPr>
      </w:pPr>
      <w:r w:rsidRPr="00E4511B">
        <w:rPr>
          <w:rFonts w:ascii="Garamond" w:hAnsi="Garamond" w:cs="Times New Roman"/>
          <w:b/>
          <w:bCs/>
          <w:sz w:val="28"/>
          <w:szCs w:val="28"/>
        </w:rPr>
        <w:t>SERVIZIO AUTONOMO CONTROLLI E ANTICORRUZIONE</w:t>
      </w:r>
    </w:p>
    <w:p w14:paraId="1C923CA2" w14:textId="77777777" w:rsidR="00615513" w:rsidRPr="005D758A" w:rsidRDefault="00615513" w:rsidP="00582EFE">
      <w:pPr>
        <w:spacing w:after="0" w:line="276" w:lineRule="auto"/>
        <w:ind w:right="-1"/>
        <w:jc w:val="center"/>
        <w:rPr>
          <w:rFonts w:ascii="Garamond" w:eastAsia="Calibri" w:hAnsi="Garamond" w:cs="Times New Roman"/>
          <w:sz w:val="23"/>
          <w:szCs w:val="23"/>
        </w:rPr>
      </w:pPr>
    </w:p>
    <w:p w14:paraId="312CE0DA" w14:textId="77777777" w:rsidR="00615513" w:rsidRPr="00D86DC5" w:rsidRDefault="00615513" w:rsidP="00582EFE">
      <w:pPr>
        <w:spacing w:after="0" w:line="276" w:lineRule="auto"/>
        <w:ind w:right="282"/>
        <w:jc w:val="center"/>
        <w:rPr>
          <w:rFonts w:ascii="Garamond" w:hAnsi="Garamond" w:cs="Times New Roman"/>
          <w:sz w:val="23"/>
          <w:szCs w:val="23"/>
          <w:u w:val="single"/>
        </w:rPr>
      </w:pPr>
      <w:r w:rsidRPr="00D86DC5">
        <w:rPr>
          <w:rFonts w:ascii="Garamond" w:hAnsi="Garamond" w:cs="Times New Roman"/>
          <w:b/>
          <w:bCs/>
          <w:noProof/>
          <w:sz w:val="23"/>
          <w:szCs w:val="23"/>
          <w:u w:val="single"/>
          <w:lang w:eastAsia="it-IT"/>
        </w:rPr>
        <w:drawing>
          <wp:anchor distT="0" distB="0" distL="114300" distR="114300" simplePos="0" relativeHeight="251669504" behindDoc="0" locked="0" layoutInCell="1" allowOverlap="1" wp14:anchorId="11D4DAD0" wp14:editId="2DDB1097">
            <wp:simplePos x="0" y="0"/>
            <wp:positionH relativeFrom="margin">
              <wp:posOffset>213360</wp:posOffset>
            </wp:positionH>
            <wp:positionV relativeFrom="paragraph">
              <wp:posOffset>8890</wp:posOffset>
            </wp:positionV>
            <wp:extent cx="2514600" cy="444500"/>
            <wp:effectExtent l="19050" t="0" r="19050" b="16510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diera italiana 2.jpg"/>
                    <pic:cNvPicPr/>
                  </pic:nvPicPr>
                  <pic:blipFill rotWithShape="1">
                    <a:blip r:embed="rId10" cstate="print">
                      <a:extLst>
                        <a:ext uri="{28A0092B-C50C-407E-A947-70E740481C1C}">
                          <a14:useLocalDpi xmlns:a14="http://schemas.microsoft.com/office/drawing/2010/main" val="0"/>
                        </a:ext>
                      </a:extLst>
                    </a:blip>
                    <a:srcRect l="-1266" t="15821" r="1012" b="43672"/>
                    <a:stretch/>
                  </pic:blipFill>
                  <pic:spPr bwMode="auto">
                    <a:xfrm>
                      <a:off x="0" y="0"/>
                      <a:ext cx="2514600" cy="4445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extLst>
                      <a:ext uri="{53640926-AAD7-44D8-BBD7-CCE9431645EC}">
                        <a14:shadowObscured xmlns:a14="http://schemas.microsoft.com/office/drawing/2010/main"/>
                      </a:ext>
                    </a:extLst>
                  </pic:spPr>
                </pic:pic>
              </a:graphicData>
            </a:graphic>
          </wp:anchor>
        </w:drawing>
      </w:r>
      <w:r w:rsidRPr="00D86DC5">
        <w:rPr>
          <w:rFonts w:ascii="Garamond" w:hAnsi="Garamond" w:cs="Times New Roman"/>
          <w:b/>
          <w:bCs/>
          <w:noProof/>
          <w:sz w:val="23"/>
          <w:szCs w:val="23"/>
          <w:u w:val="single"/>
          <w:lang w:eastAsia="it-IT"/>
        </w:rPr>
        <w:drawing>
          <wp:inline distT="0" distB="0" distL="0" distR="0" wp14:anchorId="48183F15" wp14:editId="6538D461">
            <wp:extent cx="2610485" cy="431800"/>
            <wp:effectExtent l="19050" t="0" r="18415" b="17780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ndiera_ UE_3.jpg"/>
                    <pic:cNvPicPr/>
                  </pic:nvPicPr>
                  <pic:blipFill rotWithShape="1">
                    <a:blip r:embed="rId11" cstate="print">
                      <a:extLst>
                        <a:ext uri="{28A0092B-C50C-407E-A947-70E740481C1C}">
                          <a14:useLocalDpi xmlns:a14="http://schemas.microsoft.com/office/drawing/2010/main" val="0"/>
                        </a:ext>
                      </a:extLst>
                    </a:blip>
                    <a:srcRect l="4126" t="7293" r="-3640" b="35181"/>
                    <a:stretch/>
                  </pic:blipFill>
                  <pic:spPr bwMode="auto">
                    <a:xfrm>
                      <a:off x="0" y="0"/>
                      <a:ext cx="2880124" cy="47640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extLst>
                      <a:ext uri="{53640926-AAD7-44D8-BBD7-CCE9431645EC}">
                        <a14:shadowObscured xmlns:a14="http://schemas.microsoft.com/office/drawing/2010/main"/>
                      </a:ext>
                    </a:extLst>
                  </pic:spPr>
                </pic:pic>
              </a:graphicData>
            </a:graphic>
          </wp:inline>
        </w:drawing>
      </w:r>
    </w:p>
    <w:p w14:paraId="21BAE869" w14:textId="77777777" w:rsidR="008305CE" w:rsidRPr="005D758A" w:rsidRDefault="008305CE" w:rsidP="00582EFE">
      <w:pPr>
        <w:spacing w:after="0" w:line="276" w:lineRule="auto"/>
        <w:ind w:right="-1"/>
        <w:rPr>
          <w:rFonts w:ascii="Garamond" w:eastAsia="Calibri" w:hAnsi="Garamond" w:cs="Times New Roman"/>
          <w:sz w:val="23"/>
          <w:szCs w:val="23"/>
        </w:rPr>
      </w:pPr>
      <w:bookmarkStart w:id="2" w:name="_Hlk42077779"/>
      <w:bookmarkEnd w:id="0"/>
      <w:r w:rsidRPr="005D758A">
        <w:rPr>
          <w:rFonts w:ascii="Garamond" w:eastAsia="Calibri" w:hAnsi="Garamond" w:cs="Times New Roman"/>
          <w:sz w:val="23"/>
          <w:szCs w:val="23"/>
        </w:rPr>
        <w:br w:type="page"/>
      </w:r>
    </w:p>
    <w:sdt>
      <w:sdtPr>
        <w:rPr>
          <w:rFonts w:ascii="Garamond" w:eastAsiaTheme="minorHAnsi" w:hAnsi="Garamond" w:cs="Times New Roman"/>
          <w:color w:val="auto"/>
          <w:sz w:val="23"/>
          <w:szCs w:val="23"/>
          <w:lang w:eastAsia="en-US"/>
        </w:rPr>
        <w:id w:val="-1835292934"/>
        <w:docPartObj>
          <w:docPartGallery w:val="Table of Contents"/>
          <w:docPartUnique/>
        </w:docPartObj>
      </w:sdtPr>
      <w:sdtEndPr>
        <w:rPr>
          <w:b/>
          <w:bCs/>
        </w:rPr>
      </w:sdtEndPr>
      <w:sdtContent>
        <w:p w14:paraId="1A72B620" w14:textId="77777777" w:rsidR="00615513" w:rsidRPr="00D86DC5" w:rsidRDefault="00615513" w:rsidP="00582EFE">
          <w:pPr>
            <w:pStyle w:val="Titolosommario"/>
            <w:spacing w:before="0" w:line="276" w:lineRule="auto"/>
            <w:rPr>
              <w:rFonts w:ascii="Garamond" w:hAnsi="Garamond" w:cs="Times New Roman"/>
              <w:sz w:val="23"/>
              <w:szCs w:val="23"/>
            </w:rPr>
          </w:pPr>
        </w:p>
        <w:p w14:paraId="43FA4739" w14:textId="3C0294EC" w:rsidR="00BF32B8" w:rsidRDefault="00615513" w:rsidP="00582EFE">
          <w:pPr>
            <w:pStyle w:val="Sommario1"/>
            <w:spacing w:after="0" w:line="276" w:lineRule="auto"/>
            <w:rPr>
              <w:rFonts w:asciiTheme="minorHAnsi" w:eastAsiaTheme="minorEastAsia" w:hAnsiTheme="minorHAnsi" w:cstheme="minorBidi"/>
              <w:iCs w:val="0"/>
              <w:sz w:val="22"/>
              <w:szCs w:val="22"/>
              <w:lang w:eastAsia="it-IT"/>
            </w:rPr>
          </w:pPr>
          <w:r w:rsidRPr="00967692">
            <w:rPr>
              <w:rFonts w:cs="Times New Roman"/>
              <w:sz w:val="23"/>
              <w:szCs w:val="23"/>
            </w:rPr>
            <w:fldChar w:fldCharType="begin"/>
          </w:r>
          <w:r w:rsidRPr="00967692">
            <w:rPr>
              <w:rFonts w:cs="Times New Roman"/>
              <w:sz w:val="23"/>
              <w:szCs w:val="23"/>
            </w:rPr>
            <w:instrText xml:space="preserve"> TOC \o "1-4" \h \z \u </w:instrText>
          </w:r>
          <w:r w:rsidRPr="00967692">
            <w:rPr>
              <w:rFonts w:cs="Times New Roman"/>
              <w:sz w:val="23"/>
              <w:szCs w:val="23"/>
            </w:rPr>
            <w:fldChar w:fldCharType="separate"/>
          </w:r>
          <w:hyperlink w:anchor="_Toc102136700" w:history="1">
            <w:r w:rsidR="00BF32B8" w:rsidRPr="00006555">
              <w:rPr>
                <w:rStyle w:val="Collegamentoipertestuale"/>
                <w:rFonts w:eastAsia="Calibri" w:cs="Times New Roman"/>
                <w:b/>
              </w:rPr>
              <w:t>2.4 RISCHI CORRUTTIVI E TRASPARENZA</w:t>
            </w:r>
            <w:r w:rsidR="00BF32B8">
              <w:rPr>
                <w:webHidden/>
              </w:rPr>
              <w:tab/>
            </w:r>
            <w:r w:rsidR="00BF32B8">
              <w:rPr>
                <w:webHidden/>
              </w:rPr>
              <w:fldChar w:fldCharType="begin"/>
            </w:r>
            <w:r w:rsidR="00BF32B8">
              <w:rPr>
                <w:webHidden/>
              </w:rPr>
              <w:instrText xml:space="preserve"> PAGEREF _Toc102136700 \h </w:instrText>
            </w:r>
            <w:r w:rsidR="00BF32B8">
              <w:rPr>
                <w:webHidden/>
              </w:rPr>
            </w:r>
            <w:r w:rsidR="00BF32B8">
              <w:rPr>
                <w:webHidden/>
              </w:rPr>
              <w:fldChar w:fldCharType="separate"/>
            </w:r>
            <w:r w:rsidR="00BB0B40">
              <w:rPr>
                <w:webHidden/>
              </w:rPr>
              <w:t>3</w:t>
            </w:r>
            <w:r w:rsidR="00BF32B8">
              <w:rPr>
                <w:webHidden/>
              </w:rPr>
              <w:fldChar w:fldCharType="end"/>
            </w:r>
          </w:hyperlink>
        </w:p>
        <w:p w14:paraId="738B2787" w14:textId="699DFEAC" w:rsidR="00BF32B8" w:rsidRDefault="0037773E" w:rsidP="00582EFE">
          <w:pPr>
            <w:pStyle w:val="Sommario2"/>
            <w:spacing w:after="0" w:line="276" w:lineRule="auto"/>
            <w:rPr>
              <w:rFonts w:asciiTheme="minorHAnsi" w:eastAsiaTheme="minorEastAsia" w:hAnsiTheme="minorHAnsi"/>
              <w:i w:val="0"/>
              <w:iCs w:val="0"/>
              <w:sz w:val="22"/>
              <w:szCs w:val="22"/>
              <w:lang w:eastAsia="it-IT"/>
            </w:rPr>
          </w:pPr>
          <w:hyperlink w:anchor="_Toc102136701" w:history="1">
            <w:r w:rsidR="00BF32B8" w:rsidRPr="00006555">
              <w:rPr>
                <w:rStyle w:val="Collegamentoipertestuale"/>
                <w:rFonts w:eastAsia="Calibri" w:cs="Times New Roman"/>
                <w:b/>
              </w:rPr>
              <w:t>2.4.1 PARTE GENERALE</w:t>
            </w:r>
            <w:r w:rsidR="00BF32B8">
              <w:rPr>
                <w:webHidden/>
              </w:rPr>
              <w:tab/>
            </w:r>
            <w:r w:rsidR="00BF32B8">
              <w:rPr>
                <w:webHidden/>
              </w:rPr>
              <w:fldChar w:fldCharType="begin"/>
            </w:r>
            <w:r w:rsidR="00BF32B8">
              <w:rPr>
                <w:webHidden/>
              </w:rPr>
              <w:instrText xml:space="preserve"> PAGEREF _Toc102136701 \h </w:instrText>
            </w:r>
            <w:r w:rsidR="00BF32B8">
              <w:rPr>
                <w:webHidden/>
              </w:rPr>
            </w:r>
            <w:r w:rsidR="00BF32B8">
              <w:rPr>
                <w:webHidden/>
              </w:rPr>
              <w:fldChar w:fldCharType="separate"/>
            </w:r>
            <w:r w:rsidR="00BB0B40">
              <w:rPr>
                <w:webHidden/>
              </w:rPr>
              <w:t>4</w:t>
            </w:r>
            <w:r w:rsidR="00BF32B8">
              <w:rPr>
                <w:webHidden/>
              </w:rPr>
              <w:fldChar w:fldCharType="end"/>
            </w:r>
          </w:hyperlink>
        </w:p>
        <w:p w14:paraId="3C784D5F" w14:textId="484B6620" w:rsidR="00BF32B8" w:rsidRDefault="0037773E" w:rsidP="00582EFE">
          <w:pPr>
            <w:pStyle w:val="Sommario2"/>
            <w:spacing w:after="0" w:line="276" w:lineRule="auto"/>
            <w:rPr>
              <w:rFonts w:asciiTheme="minorHAnsi" w:eastAsiaTheme="minorEastAsia" w:hAnsiTheme="minorHAnsi"/>
              <w:i w:val="0"/>
              <w:iCs w:val="0"/>
              <w:sz w:val="22"/>
              <w:szCs w:val="22"/>
              <w:lang w:eastAsia="it-IT"/>
            </w:rPr>
          </w:pPr>
          <w:hyperlink w:anchor="_Toc102136702" w:history="1">
            <w:r w:rsidR="00BF32B8" w:rsidRPr="00006555">
              <w:rPr>
                <w:rStyle w:val="Collegamentoipertestuale"/>
                <w:rFonts w:eastAsia="Calibri" w:cs="Times New Roman"/>
                <w:b/>
              </w:rPr>
              <w:t>2.4.2 CONTESTO ESTERNO</w:t>
            </w:r>
            <w:r w:rsidR="00BF32B8">
              <w:rPr>
                <w:webHidden/>
              </w:rPr>
              <w:tab/>
            </w:r>
            <w:r w:rsidR="00BF32B8">
              <w:rPr>
                <w:webHidden/>
              </w:rPr>
              <w:fldChar w:fldCharType="begin"/>
            </w:r>
            <w:r w:rsidR="00BF32B8">
              <w:rPr>
                <w:webHidden/>
              </w:rPr>
              <w:instrText xml:space="preserve"> PAGEREF _Toc102136702 \h </w:instrText>
            </w:r>
            <w:r w:rsidR="00BF32B8">
              <w:rPr>
                <w:webHidden/>
              </w:rPr>
            </w:r>
            <w:r w:rsidR="00BF32B8">
              <w:rPr>
                <w:webHidden/>
              </w:rPr>
              <w:fldChar w:fldCharType="separate"/>
            </w:r>
            <w:r w:rsidR="00BB0B40">
              <w:rPr>
                <w:webHidden/>
              </w:rPr>
              <w:t>7</w:t>
            </w:r>
            <w:r w:rsidR="00BF32B8">
              <w:rPr>
                <w:webHidden/>
              </w:rPr>
              <w:fldChar w:fldCharType="end"/>
            </w:r>
          </w:hyperlink>
        </w:p>
        <w:p w14:paraId="6E3CFB91" w14:textId="1624F24D" w:rsidR="00BF32B8" w:rsidRDefault="0037773E" w:rsidP="00582EFE">
          <w:pPr>
            <w:pStyle w:val="Sommario2"/>
            <w:spacing w:after="0" w:line="276" w:lineRule="auto"/>
            <w:rPr>
              <w:rFonts w:asciiTheme="minorHAnsi" w:eastAsiaTheme="minorEastAsia" w:hAnsiTheme="minorHAnsi"/>
              <w:i w:val="0"/>
              <w:iCs w:val="0"/>
              <w:sz w:val="22"/>
              <w:szCs w:val="22"/>
              <w:lang w:eastAsia="it-IT"/>
            </w:rPr>
          </w:pPr>
          <w:hyperlink w:anchor="_Toc102136703" w:history="1">
            <w:r w:rsidR="00BF32B8" w:rsidRPr="00006555">
              <w:rPr>
                <w:rStyle w:val="Collegamentoipertestuale"/>
                <w:rFonts w:eastAsia="Calibri" w:cs="Times New Roman"/>
                <w:b/>
              </w:rPr>
              <w:t>2.4.3 CONTESTO INTERNO</w:t>
            </w:r>
            <w:r w:rsidR="00BF32B8">
              <w:rPr>
                <w:webHidden/>
              </w:rPr>
              <w:tab/>
            </w:r>
            <w:r w:rsidR="00BF32B8">
              <w:rPr>
                <w:webHidden/>
              </w:rPr>
              <w:fldChar w:fldCharType="begin"/>
            </w:r>
            <w:r w:rsidR="00BF32B8">
              <w:rPr>
                <w:webHidden/>
              </w:rPr>
              <w:instrText xml:space="preserve"> PAGEREF _Toc102136703 \h </w:instrText>
            </w:r>
            <w:r w:rsidR="00BF32B8">
              <w:rPr>
                <w:webHidden/>
              </w:rPr>
            </w:r>
            <w:r w:rsidR="00BF32B8">
              <w:rPr>
                <w:webHidden/>
              </w:rPr>
              <w:fldChar w:fldCharType="separate"/>
            </w:r>
            <w:r w:rsidR="00BB0B40">
              <w:rPr>
                <w:webHidden/>
              </w:rPr>
              <w:t>11</w:t>
            </w:r>
            <w:r w:rsidR="00BF32B8">
              <w:rPr>
                <w:webHidden/>
              </w:rPr>
              <w:fldChar w:fldCharType="end"/>
            </w:r>
          </w:hyperlink>
        </w:p>
        <w:p w14:paraId="348BE383" w14:textId="47550E08" w:rsidR="00BF32B8" w:rsidRDefault="0037773E" w:rsidP="00582EFE">
          <w:pPr>
            <w:pStyle w:val="Sommario2"/>
            <w:spacing w:after="0" w:line="276" w:lineRule="auto"/>
            <w:rPr>
              <w:rFonts w:asciiTheme="minorHAnsi" w:eastAsiaTheme="minorEastAsia" w:hAnsiTheme="minorHAnsi"/>
              <w:i w:val="0"/>
              <w:iCs w:val="0"/>
              <w:sz w:val="22"/>
              <w:szCs w:val="22"/>
              <w:lang w:eastAsia="it-IT"/>
            </w:rPr>
          </w:pPr>
          <w:hyperlink w:anchor="_Toc102136704" w:history="1">
            <w:r w:rsidR="00BF32B8" w:rsidRPr="00006555">
              <w:rPr>
                <w:rStyle w:val="Collegamentoipertestuale"/>
                <w:rFonts w:eastAsia="Calibri" w:cs="Times New Roman"/>
                <w:b/>
              </w:rPr>
              <w:t>2.4.4 MAPPATURA DEI PROCESSI</w:t>
            </w:r>
            <w:r w:rsidR="00BF32B8">
              <w:rPr>
                <w:webHidden/>
              </w:rPr>
              <w:tab/>
            </w:r>
            <w:r w:rsidR="00BF32B8">
              <w:rPr>
                <w:webHidden/>
              </w:rPr>
              <w:fldChar w:fldCharType="begin"/>
            </w:r>
            <w:r w:rsidR="00BF32B8">
              <w:rPr>
                <w:webHidden/>
              </w:rPr>
              <w:instrText xml:space="preserve"> PAGEREF _Toc102136704 \h </w:instrText>
            </w:r>
            <w:r w:rsidR="00BF32B8">
              <w:rPr>
                <w:webHidden/>
              </w:rPr>
            </w:r>
            <w:r w:rsidR="00BF32B8">
              <w:rPr>
                <w:webHidden/>
              </w:rPr>
              <w:fldChar w:fldCharType="separate"/>
            </w:r>
            <w:r w:rsidR="00BB0B40">
              <w:rPr>
                <w:webHidden/>
              </w:rPr>
              <w:t>13</w:t>
            </w:r>
            <w:r w:rsidR="00BF32B8">
              <w:rPr>
                <w:webHidden/>
              </w:rPr>
              <w:fldChar w:fldCharType="end"/>
            </w:r>
          </w:hyperlink>
        </w:p>
        <w:p w14:paraId="75A3D98D" w14:textId="42BF9B5B" w:rsidR="00BF32B8" w:rsidRDefault="0037773E" w:rsidP="00582EFE">
          <w:pPr>
            <w:pStyle w:val="Sommario2"/>
            <w:spacing w:after="0" w:line="276" w:lineRule="auto"/>
            <w:rPr>
              <w:rFonts w:asciiTheme="minorHAnsi" w:eastAsiaTheme="minorEastAsia" w:hAnsiTheme="minorHAnsi"/>
              <w:i w:val="0"/>
              <w:iCs w:val="0"/>
              <w:sz w:val="22"/>
              <w:szCs w:val="22"/>
              <w:lang w:eastAsia="it-IT"/>
            </w:rPr>
          </w:pPr>
          <w:hyperlink w:anchor="_Toc102136705" w:history="1">
            <w:r w:rsidR="00BF32B8" w:rsidRPr="00006555">
              <w:rPr>
                <w:rStyle w:val="Collegamentoipertestuale"/>
                <w:rFonts w:eastAsia="Calibri" w:cs="Times New Roman"/>
                <w:b/>
              </w:rPr>
              <w:t>2.4.5 IDENTIFICAZIONE E VALUTAZIONE DEI RISCHI CORRUTTIVI POTENZIALI E CONCRETI</w:t>
            </w:r>
            <w:r w:rsidR="00BF32B8">
              <w:rPr>
                <w:webHidden/>
              </w:rPr>
              <w:tab/>
            </w:r>
            <w:r w:rsidR="00BF32B8">
              <w:rPr>
                <w:webHidden/>
              </w:rPr>
              <w:fldChar w:fldCharType="begin"/>
            </w:r>
            <w:r w:rsidR="00BF32B8">
              <w:rPr>
                <w:webHidden/>
              </w:rPr>
              <w:instrText xml:space="preserve"> PAGEREF _Toc102136705 \h </w:instrText>
            </w:r>
            <w:r w:rsidR="00BF32B8">
              <w:rPr>
                <w:webHidden/>
              </w:rPr>
            </w:r>
            <w:r w:rsidR="00BF32B8">
              <w:rPr>
                <w:webHidden/>
              </w:rPr>
              <w:fldChar w:fldCharType="separate"/>
            </w:r>
            <w:r w:rsidR="00BB0B40">
              <w:rPr>
                <w:webHidden/>
              </w:rPr>
              <w:t>14</w:t>
            </w:r>
            <w:r w:rsidR="00BF32B8">
              <w:rPr>
                <w:webHidden/>
              </w:rPr>
              <w:fldChar w:fldCharType="end"/>
            </w:r>
          </w:hyperlink>
        </w:p>
        <w:p w14:paraId="29DDE292" w14:textId="6258A7C8" w:rsidR="00BF32B8" w:rsidRDefault="0037773E" w:rsidP="00582EFE">
          <w:pPr>
            <w:pStyle w:val="Sommario2"/>
            <w:spacing w:after="0" w:line="276" w:lineRule="auto"/>
            <w:rPr>
              <w:rFonts w:asciiTheme="minorHAnsi" w:eastAsiaTheme="minorEastAsia" w:hAnsiTheme="minorHAnsi"/>
              <w:i w:val="0"/>
              <w:iCs w:val="0"/>
              <w:sz w:val="22"/>
              <w:szCs w:val="22"/>
              <w:lang w:eastAsia="it-IT"/>
            </w:rPr>
          </w:pPr>
          <w:hyperlink w:anchor="_Toc102136706" w:history="1">
            <w:r w:rsidR="00BF32B8" w:rsidRPr="00006555">
              <w:rPr>
                <w:rStyle w:val="Collegamentoipertestuale"/>
                <w:rFonts w:eastAsia="Calibri" w:cs="Times New Roman"/>
                <w:b/>
              </w:rPr>
              <w:t>2.4.6. PROGETTAZIONE DI MISURE ORGANIZZATIVE PER IL TRATTAMENTO DEL RISCHIO</w:t>
            </w:r>
            <w:r w:rsidR="00BF32B8">
              <w:rPr>
                <w:webHidden/>
              </w:rPr>
              <w:tab/>
            </w:r>
            <w:r w:rsidR="00BF32B8">
              <w:rPr>
                <w:webHidden/>
              </w:rPr>
              <w:fldChar w:fldCharType="begin"/>
            </w:r>
            <w:r w:rsidR="00BF32B8">
              <w:rPr>
                <w:webHidden/>
              </w:rPr>
              <w:instrText xml:space="preserve"> PAGEREF _Toc102136706 \h </w:instrText>
            </w:r>
            <w:r w:rsidR="00BF32B8">
              <w:rPr>
                <w:webHidden/>
              </w:rPr>
            </w:r>
            <w:r w:rsidR="00BF32B8">
              <w:rPr>
                <w:webHidden/>
              </w:rPr>
              <w:fldChar w:fldCharType="separate"/>
            </w:r>
            <w:r w:rsidR="00BB0B40">
              <w:rPr>
                <w:webHidden/>
              </w:rPr>
              <w:t>15</w:t>
            </w:r>
            <w:r w:rsidR="00BF32B8">
              <w:rPr>
                <w:webHidden/>
              </w:rPr>
              <w:fldChar w:fldCharType="end"/>
            </w:r>
          </w:hyperlink>
        </w:p>
        <w:p w14:paraId="4049C7B1" w14:textId="19E5759F" w:rsidR="00BF32B8" w:rsidRDefault="0037773E" w:rsidP="00582EFE">
          <w:pPr>
            <w:pStyle w:val="Sommario2"/>
            <w:spacing w:after="0" w:line="276" w:lineRule="auto"/>
            <w:rPr>
              <w:rFonts w:asciiTheme="minorHAnsi" w:eastAsiaTheme="minorEastAsia" w:hAnsiTheme="minorHAnsi"/>
              <w:i w:val="0"/>
              <w:iCs w:val="0"/>
              <w:sz w:val="22"/>
              <w:szCs w:val="22"/>
              <w:lang w:eastAsia="it-IT"/>
            </w:rPr>
          </w:pPr>
          <w:hyperlink w:anchor="_Toc102136707" w:history="1">
            <w:r w:rsidR="00BF32B8" w:rsidRPr="00006555">
              <w:rPr>
                <w:rStyle w:val="Collegamentoipertestuale"/>
                <w:rFonts w:eastAsia="Calibri" w:cs="Times New Roman"/>
                <w:b/>
              </w:rPr>
              <w:t>2.4.8 PROGRAMAZIONE DELL’ATTUAZIONE DELLA TRASPARENZA</w:t>
            </w:r>
            <w:r w:rsidR="00BF32B8">
              <w:rPr>
                <w:webHidden/>
              </w:rPr>
              <w:tab/>
            </w:r>
            <w:r w:rsidR="00BF32B8">
              <w:rPr>
                <w:webHidden/>
              </w:rPr>
              <w:fldChar w:fldCharType="begin"/>
            </w:r>
            <w:r w:rsidR="00BF32B8">
              <w:rPr>
                <w:webHidden/>
              </w:rPr>
              <w:instrText xml:space="preserve"> PAGEREF _Toc102136707 \h </w:instrText>
            </w:r>
            <w:r w:rsidR="00BF32B8">
              <w:rPr>
                <w:webHidden/>
              </w:rPr>
            </w:r>
            <w:r w:rsidR="00BF32B8">
              <w:rPr>
                <w:webHidden/>
              </w:rPr>
              <w:fldChar w:fldCharType="separate"/>
            </w:r>
            <w:r w:rsidR="00BB0B40">
              <w:rPr>
                <w:webHidden/>
              </w:rPr>
              <w:t>42</w:t>
            </w:r>
            <w:r w:rsidR="00BF32B8">
              <w:rPr>
                <w:webHidden/>
              </w:rPr>
              <w:fldChar w:fldCharType="end"/>
            </w:r>
          </w:hyperlink>
        </w:p>
        <w:p w14:paraId="697EA42B" w14:textId="6B1CDBC3" w:rsidR="00BF32B8" w:rsidRDefault="0037773E" w:rsidP="00582EFE">
          <w:pPr>
            <w:pStyle w:val="Sommario1"/>
            <w:spacing w:after="0" w:line="276" w:lineRule="auto"/>
            <w:rPr>
              <w:rFonts w:asciiTheme="minorHAnsi" w:eastAsiaTheme="minorEastAsia" w:hAnsiTheme="minorHAnsi" w:cstheme="minorBidi"/>
              <w:iCs w:val="0"/>
              <w:sz w:val="22"/>
              <w:szCs w:val="22"/>
              <w:lang w:eastAsia="it-IT"/>
            </w:rPr>
          </w:pPr>
          <w:hyperlink w:anchor="_Toc102136708" w:history="1">
            <w:r w:rsidR="00BF32B8" w:rsidRPr="00006555">
              <w:rPr>
                <w:rStyle w:val="Collegamentoipertestuale"/>
                <w:rFonts w:eastAsia="Calibri" w:cs="Times New Roman"/>
                <w:b/>
              </w:rPr>
              <w:t>4.2 MONITORAGGIO RISCHI CORRUTTIVI E TRASPARENZA</w:t>
            </w:r>
            <w:r w:rsidR="00BF32B8">
              <w:rPr>
                <w:webHidden/>
              </w:rPr>
              <w:tab/>
            </w:r>
            <w:r w:rsidR="00BF32B8">
              <w:rPr>
                <w:webHidden/>
              </w:rPr>
              <w:fldChar w:fldCharType="begin"/>
            </w:r>
            <w:r w:rsidR="00BF32B8">
              <w:rPr>
                <w:webHidden/>
              </w:rPr>
              <w:instrText xml:space="preserve"> PAGEREF _Toc102136708 \h </w:instrText>
            </w:r>
            <w:r w:rsidR="00BF32B8">
              <w:rPr>
                <w:webHidden/>
              </w:rPr>
            </w:r>
            <w:r w:rsidR="00BF32B8">
              <w:rPr>
                <w:webHidden/>
              </w:rPr>
              <w:fldChar w:fldCharType="separate"/>
            </w:r>
            <w:r w:rsidR="00BB0B40">
              <w:rPr>
                <w:webHidden/>
              </w:rPr>
              <w:t>51</w:t>
            </w:r>
            <w:r w:rsidR="00BF32B8">
              <w:rPr>
                <w:webHidden/>
              </w:rPr>
              <w:fldChar w:fldCharType="end"/>
            </w:r>
          </w:hyperlink>
        </w:p>
        <w:p w14:paraId="3A6D01C7" w14:textId="05FF101D" w:rsidR="00BF32B8" w:rsidRDefault="0037773E" w:rsidP="00582EFE">
          <w:pPr>
            <w:pStyle w:val="Sommario1"/>
            <w:spacing w:after="0" w:line="276" w:lineRule="auto"/>
            <w:rPr>
              <w:rFonts w:asciiTheme="minorHAnsi" w:eastAsiaTheme="minorEastAsia" w:hAnsiTheme="minorHAnsi" w:cstheme="minorBidi"/>
              <w:iCs w:val="0"/>
              <w:sz w:val="22"/>
              <w:szCs w:val="22"/>
              <w:lang w:eastAsia="it-IT"/>
            </w:rPr>
          </w:pPr>
          <w:hyperlink w:anchor="_Toc102136709" w:history="1">
            <w:r w:rsidR="00BF32B8" w:rsidRPr="00006555">
              <w:rPr>
                <w:rStyle w:val="Collegamentoipertestuale"/>
                <w:rFonts w:eastAsia="Calibri" w:cs="Times New Roman"/>
                <w:b/>
              </w:rPr>
              <w:t>ALLEGATI SOTTOSEZIONE 2.4</w:t>
            </w:r>
            <w:r w:rsidR="00BF32B8">
              <w:rPr>
                <w:webHidden/>
              </w:rPr>
              <w:tab/>
            </w:r>
            <w:r w:rsidR="00BF32B8">
              <w:rPr>
                <w:webHidden/>
              </w:rPr>
              <w:fldChar w:fldCharType="begin"/>
            </w:r>
            <w:r w:rsidR="00BF32B8">
              <w:rPr>
                <w:webHidden/>
              </w:rPr>
              <w:instrText xml:space="preserve"> PAGEREF _Toc102136709 \h </w:instrText>
            </w:r>
            <w:r w:rsidR="00BF32B8">
              <w:rPr>
                <w:webHidden/>
              </w:rPr>
            </w:r>
            <w:r w:rsidR="00BF32B8">
              <w:rPr>
                <w:webHidden/>
              </w:rPr>
              <w:fldChar w:fldCharType="separate"/>
            </w:r>
            <w:r w:rsidR="00BB0B40">
              <w:rPr>
                <w:webHidden/>
              </w:rPr>
              <w:t>55</w:t>
            </w:r>
            <w:r w:rsidR="00BF32B8">
              <w:rPr>
                <w:webHidden/>
              </w:rPr>
              <w:fldChar w:fldCharType="end"/>
            </w:r>
          </w:hyperlink>
        </w:p>
        <w:p w14:paraId="7BCCDDB2" w14:textId="521D2AA8" w:rsidR="00615513" w:rsidRPr="00967692" w:rsidRDefault="00615513" w:rsidP="00582EFE">
          <w:pPr>
            <w:spacing w:after="0" w:line="276" w:lineRule="auto"/>
            <w:rPr>
              <w:rFonts w:ascii="Garamond" w:hAnsi="Garamond" w:cs="Times New Roman"/>
              <w:sz w:val="23"/>
              <w:szCs w:val="23"/>
            </w:rPr>
          </w:pPr>
          <w:r w:rsidRPr="00967692">
            <w:rPr>
              <w:rFonts w:ascii="Garamond" w:hAnsi="Garamond" w:cs="Times New Roman"/>
              <w:iCs/>
              <w:noProof/>
              <w:sz w:val="23"/>
              <w:szCs w:val="23"/>
            </w:rPr>
            <w:fldChar w:fldCharType="end"/>
          </w:r>
        </w:p>
      </w:sdtContent>
    </w:sdt>
    <w:bookmarkEnd w:id="2" w:displacedByCustomXml="prev"/>
    <w:bookmarkEnd w:id="1" w:displacedByCustomXml="prev"/>
    <w:p w14:paraId="7D61E60E" w14:textId="77777777" w:rsidR="00615513" w:rsidRPr="00D86DC5" w:rsidRDefault="00615513" w:rsidP="00582EFE">
      <w:pPr>
        <w:spacing w:after="0" w:line="276" w:lineRule="auto"/>
        <w:ind w:right="282"/>
        <w:jc w:val="center"/>
        <w:rPr>
          <w:rFonts w:ascii="Garamond" w:eastAsia="Calibri" w:hAnsi="Garamond" w:cs="Times New Roman"/>
          <w:sz w:val="23"/>
          <w:szCs w:val="23"/>
          <w:u w:val="single"/>
        </w:rPr>
      </w:pPr>
    </w:p>
    <w:p w14:paraId="2FC3929C" w14:textId="77777777" w:rsidR="00615513" w:rsidRPr="00D86DC5" w:rsidRDefault="00615513" w:rsidP="00582EFE">
      <w:pPr>
        <w:spacing w:after="0" w:line="276" w:lineRule="auto"/>
        <w:ind w:right="282"/>
        <w:jc w:val="center"/>
        <w:rPr>
          <w:rFonts w:ascii="Garamond" w:eastAsia="Calibri" w:hAnsi="Garamond" w:cs="Times New Roman"/>
          <w:sz w:val="23"/>
          <w:szCs w:val="23"/>
          <w:u w:val="single"/>
        </w:rPr>
      </w:pPr>
    </w:p>
    <w:p w14:paraId="7CDC3752" w14:textId="77777777" w:rsidR="008431F7" w:rsidRPr="00D86DC5" w:rsidRDefault="008431F7" w:rsidP="00582EFE">
      <w:pPr>
        <w:spacing w:after="0" w:line="276" w:lineRule="auto"/>
        <w:rPr>
          <w:rFonts w:ascii="Garamond" w:eastAsia="Calibri" w:hAnsi="Garamond" w:cs="Times New Roman"/>
          <w:sz w:val="23"/>
          <w:szCs w:val="23"/>
          <w:u w:val="single"/>
        </w:rPr>
      </w:pPr>
      <w:r w:rsidRPr="00D86DC5">
        <w:rPr>
          <w:rFonts w:ascii="Garamond" w:eastAsia="Calibri" w:hAnsi="Garamond" w:cs="Times New Roman"/>
          <w:sz w:val="23"/>
          <w:szCs w:val="23"/>
          <w:u w:val="single"/>
        </w:rPr>
        <w:br w:type="page"/>
      </w:r>
    </w:p>
    <w:p w14:paraId="2C8B9CEB" w14:textId="3DAE03E0" w:rsidR="00E14093" w:rsidRPr="00E14093" w:rsidRDefault="00E14093" w:rsidP="00E14093">
      <w:pPr>
        <w:spacing w:after="0" w:line="276" w:lineRule="auto"/>
        <w:ind w:right="-1"/>
        <w:jc w:val="both"/>
        <w:rPr>
          <w:rFonts w:ascii="Garamond" w:eastAsia="Calibri" w:hAnsi="Garamond" w:cs="Times New Roman"/>
          <w:b/>
          <w:sz w:val="23"/>
          <w:szCs w:val="23"/>
        </w:rPr>
      </w:pPr>
      <w:bookmarkStart w:id="3" w:name="_Toc102136700"/>
      <w:r w:rsidRPr="00E14093">
        <w:rPr>
          <w:rFonts w:ascii="Garamond" w:eastAsia="Calibri" w:hAnsi="Garamond" w:cs="Times New Roman"/>
          <w:b/>
          <w:sz w:val="23"/>
          <w:szCs w:val="23"/>
        </w:rPr>
        <w:lastRenderedPageBreak/>
        <w:t>Elenco degli acronimi e delle abbreviazioni più utilizzati</w:t>
      </w:r>
      <w:r>
        <w:rPr>
          <w:rFonts w:ascii="Garamond" w:eastAsia="Calibri" w:hAnsi="Garamond" w:cs="Times New Roman"/>
          <w:b/>
          <w:sz w:val="23"/>
          <w:szCs w:val="23"/>
        </w:rPr>
        <w:t>:</w:t>
      </w:r>
    </w:p>
    <w:p w14:paraId="405E4DC9" w14:textId="6C397FE3" w:rsidR="00E14093" w:rsidRDefault="00E14093" w:rsidP="00E14093">
      <w:pPr>
        <w:spacing w:after="0" w:line="276" w:lineRule="auto"/>
        <w:ind w:right="-1"/>
        <w:jc w:val="both"/>
        <w:rPr>
          <w:rFonts w:ascii="Garamond" w:eastAsia="Calibri" w:hAnsi="Garamond" w:cs="Times New Roman"/>
          <w:sz w:val="23"/>
          <w:szCs w:val="23"/>
        </w:rPr>
      </w:pPr>
    </w:p>
    <w:tbl>
      <w:tblPr>
        <w:tblStyle w:val="Grigliatabella"/>
        <w:tblW w:w="0" w:type="auto"/>
        <w:tblLook w:val="04A0" w:firstRow="1" w:lastRow="0" w:firstColumn="1" w:lastColumn="0" w:noHBand="0" w:noVBand="1"/>
      </w:tblPr>
      <w:tblGrid>
        <w:gridCol w:w="3114"/>
        <w:gridCol w:w="6514"/>
      </w:tblGrid>
      <w:tr w:rsidR="00E14093" w:rsidRPr="00E14093" w14:paraId="2E7A2A30" w14:textId="77777777" w:rsidTr="00B1280B">
        <w:tc>
          <w:tcPr>
            <w:tcW w:w="3114" w:type="dxa"/>
            <w:vAlign w:val="center"/>
          </w:tcPr>
          <w:p w14:paraId="235F825C" w14:textId="418CA4C3" w:rsidR="00E14093" w:rsidRPr="00E14093" w:rsidRDefault="00E14093" w:rsidP="00E14093">
            <w:pPr>
              <w:spacing w:line="276" w:lineRule="auto"/>
              <w:ind w:right="-1"/>
              <w:jc w:val="center"/>
              <w:rPr>
                <w:rFonts w:ascii="Garamond" w:eastAsia="Calibri" w:hAnsi="Garamond" w:cs="Times New Roman"/>
                <w:b/>
                <w:sz w:val="23"/>
                <w:szCs w:val="23"/>
              </w:rPr>
            </w:pPr>
            <w:r w:rsidRPr="00E14093">
              <w:rPr>
                <w:rFonts w:ascii="Garamond" w:eastAsia="Calibri" w:hAnsi="Garamond" w:cs="Times New Roman"/>
                <w:b/>
                <w:sz w:val="23"/>
                <w:szCs w:val="23"/>
              </w:rPr>
              <w:t>ACRONIMO</w:t>
            </w:r>
          </w:p>
        </w:tc>
        <w:tc>
          <w:tcPr>
            <w:tcW w:w="6514" w:type="dxa"/>
            <w:vAlign w:val="center"/>
          </w:tcPr>
          <w:p w14:paraId="2218DA44" w14:textId="0EA78594" w:rsidR="00E14093" w:rsidRPr="00E14093" w:rsidRDefault="00E14093" w:rsidP="00E14093">
            <w:pPr>
              <w:spacing w:line="276" w:lineRule="auto"/>
              <w:ind w:right="-1"/>
              <w:jc w:val="center"/>
              <w:rPr>
                <w:rFonts w:ascii="Garamond" w:eastAsia="Calibri" w:hAnsi="Garamond" w:cs="Times New Roman"/>
                <w:b/>
                <w:sz w:val="23"/>
                <w:szCs w:val="23"/>
              </w:rPr>
            </w:pPr>
            <w:r w:rsidRPr="00E14093">
              <w:rPr>
                <w:rFonts w:ascii="Garamond" w:eastAsia="Calibri" w:hAnsi="Garamond" w:cs="Times New Roman"/>
                <w:b/>
                <w:sz w:val="23"/>
                <w:szCs w:val="23"/>
              </w:rPr>
              <w:t>DESCRIZIONE</w:t>
            </w:r>
          </w:p>
        </w:tc>
      </w:tr>
      <w:tr w:rsidR="00E14093" w14:paraId="006540A4" w14:textId="77777777" w:rsidTr="00B1280B">
        <w:tc>
          <w:tcPr>
            <w:tcW w:w="3114" w:type="dxa"/>
            <w:vAlign w:val="center"/>
          </w:tcPr>
          <w:p w14:paraId="1FB131DB" w14:textId="3C6B8547" w:rsidR="00E14093" w:rsidRDefault="00E14093"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ANAC</w:t>
            </w:r>
          </w:p>
        </w:tc>
        <w:tc>
          <w:tcPr>
            <w:tcW w:w="6514" w:type="dxa"/>
            <w:vAlign w:val="center"/>
          </w:tcPr>
          <w:p w14:paraId="6BD25DCC" w14:textId="157A59C6" w:rsidR="00E14093" w:rsidRDefault="00E14093"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Autorità Nazionale Anticorruzione</w:t>
            </w:r>
          </w:p>
        </w:tc>
      </w:tr>
      <w:tr w:rsidR="00E14093" w14:paraId="62957441" w14:textId="77777777" w:rsidTr="00B1280B">
        <w:tc>
          <w:tcPr>
            <w:tcW w:w="3114" w:type="dxa"/>
            <w:vAlign w:val="center"/>
          </w:tcPr>
          <w:p w14:paraId="476D8BD9" w14:textId="025639A5" w:rsidR="00E14093" w:rsidRDefault="00E14093"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OIV</w:t>
            </w:r>
          </w:p>
        </w:tc>
        <w:tc>
          <w:tcPr>
            <w:tcW w:w="6514" w:type="dxa"/>
            <w:vAlign w:val="center"/>
          </w:tcPr>
          <w:p w14:paraId="509AED7B" w14:textId="5825A5B5" w:rsidR="00E14093" w:rsidRDefault="00E14093"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Organismo Indipendente di Valutazione</w:t>
            </w:r>
          </w:p>
        </w:tc>
      </w:tr>
      <w:tr w:rsidR="00E14093" w14:paraId="594125E8" w14:textId="77777777" w:rsidTr="00B1280B">
        <w:tc>
          <w:tcPr>
            <w:tcW w:w="3114" w:type="dxa"/>
            <w:vAlign w:val="center"/>
          </w:tcPr>
          <w:p w14:paraId="1A99C306" w14:textId="5463BA61" w:rsidR="00E14093" w:rsidRDefault="00E14093"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PIAO</w:t>
            </w:r>
          </w:p>
        </w:tc>
        <w:tc>
          <w:tcPr>
            <w:tcW w:w="6514" w:type="dxa"/>
            <w:vAlign w:val="center"/>
          </w:tcPr>
          <w:p w14:paraId="17DB75C1" w14:textId="3D737CED" w:rsidR="00E14093" w:rsidRDefault="00E14093"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Piano Integrato di Attività e Organizzazione</w:t>
            </w:r>
          </w:p>
        </w:tc>
      </w:tr>
      <w:tr w:rsidR="00E14093" w14:paraId="508814F2" w14:textId="77777777" w:rsidTr="00B1280B">
        <w:tc>
          <w:tcPr>
            <w:tcW w:w="3114" w:type="dxa"/>
            <w:vAlign w:val="center"/>
          </w:tcPr>
          <w:p w14:paraId="33582959" w14:textId="0FAD87D3" w:rsidR="00E14093" w:rsidRPr="005703A1" w:rsidRDefault="00E14093" w:rsidP="00E14093">
            <w:pPr>
              <w:spacing w:line="276" w:lineRule="auto"/>
              <w:ind w:right="-1"/>
              <w:jc w:val="both"/>
              <w:rPr>
                <w:rFonts w:ascii="Garamond" w:eastAsia="Calibri" w:hAnsi="Garamond" w:cs="Times New Roman"/>
                <w:sz w:val="23"/>
                <w:szCs w:val="23"/>
              </w:rPr>
            </w:pPr>
            <w:r w:rsidRPr="005703A1">
              <w:rPr>
                <w:rFonts w:ascii="Garamond" w:eastAsia="Calibri" w:hAnsi="Garamond" w:cs="Times New Roman"/>
                <w:sz w:val="23"/>
                <w:szCs w:val="23"/>
              </w:rPr>
              <w:t>PNA</w:t>
            </w:r>
          </w:p>
        </w:tc>
        <w:tc>
          <w:tcPr>
            <w:tcW w:w="6514" w:type="dxa"/>
            <w:vAlign w:val="center"/>
          </w:tcPr>
          <w:p w14:paraId="5836FCAB" w14:textId="45E2297A" w:rsidR="00E14093" w:rsidRPr="005703A1" w:rsidRDefault="00E14093" w:rsidP="00E14093">
            <w:pPr>
              <w:spacing w:line="276" w:lineRule="auto"/>
              <w:ind w:right="-1"/>
              <w:jc w:val="both"/>
              <w:rPr>
                <w:rFonts w:ascii="Garamond" w:eastAsia="Calibri" w:hAnsi="Garamond" w:cs="Times New Roman"/>
                <w:sz w:val="23"/>
                <w:szCs w:val="23"/>
              </w:rPr>
            </w:pPr>
            <w:r w:rsidRPr="005703A1">
              <w:rPr>
                <w:rFonts w:ascii="Garamond" w:eastAsia="Calibri" w:hAnsi="Garamond" w:cs="Times New Roman"/>
                <w:sz w:val="23"/>
                <w:szCs w:val="23"/>
              </w:rPr>
              <w:t>Piano Nazionale Anticorruzione</w:t>
            </w:r>
          </w:p>
        </w:tc>
      </w:tr>
      <w:tr w:rsidR="00E14093" w14:paraId="780BED20" w14:textId="77777777" w:rsidTr="00B1280B">
        <w:tc>
          <w:tcPr>
            <w:tcW w:w="3114" w:type="dxa"/>
            <w:vAlign w:val="center"/>
          </w:tcPr>
          <w:p w14:paraId="7EBC2826" w14:textId="7A2327A8" w:rsidR="00E14093" w:rsidRPr="005703A1" w:rsidRDefault="00E14093" w:rsidP="00E14093">
            <w:pPr>
              <w:spacing w:line="276" w:lineRule="auto"/>
              <w:ind w:right="-1"/>
              <w:jc w:val="both"/>
              <w:rPr>
                <w:rFonts w:ascii="Garamond" w:eastAsia="Calibri" w:hAnsi="Garamond" w:cs="Times New Roman"/>
                <w:sz w:val="23"/>
                <w:szCs w:val="23"/>
              </w:rPr>
            </w:pPr>
            <w:r w:rsidRPr="005703A1">
              <w:rPr>
                <w:rFonts w:ascii="Garamond" w:eastAsia="Calibri" w:hAnsi="Garamond" w:cs="Times New Roman"/>
                <w:sz w:val="23"/>
                <w:szCs w:val="23"/>
              </w:rPr>
              <w:t>PNA 2022</w:t>
            </w:r>
          </w:p>
        </w:tc>
        <w:tc>
          <w:tcPr>
            <w:tcW w:w="6514" w:type="dxa"/>
            <w:vAlign w:val="center"/>
          </w:tcPr>
          <w:p w14:paraId="135D2973" w14:textId="5780E696" w:rsidR="00E14093" w:rsidRPr="005703A1" w:rsidRDefault="00E14093" w:rsidP="00E14093">
            <w:pPr>
              <w:spacing w:line="276" w:lineRule="auto"/>
              <w:ind w:right="-1"/>
              <w:jc w:val="both"/>
              <w:rPr>
                <w:rFonts w:ascii="Garamond" w:eastAsia="Calibri" w:hAnsi="Garamond" w:cs="Times New Roman"/>
                <w:sz w:val="23"/>
                <w:szCs w:val="23"/>
              </w:rPr>
            </w:pPr>
            <w:r w:rsidRPr="005703A1">
              <w:rPr>
                <w:rFonts w:ascii="Garamond" w:eastAsia="Calibri" w:hAnsi="Garamond" w:cs="Times New Roman"/>
                <w:sz w:val="23"/>
                <w:szCs w:val="23"/>
              </w:rPr>
              <w:t>Piano Nazionale Anticorruzione approvato dal Consiglio dell'ANAC il 16 novembre 2022</w:t>
            </w:r>
            <w:r w:rsidR="00B1280B" w:rsidRPr="005703A1">
              <w:rPr>
                <w:rFonts w:ascii="Garamond" w:eastAsia="Calibri" w:hAnsi="Garamond" w:cs="Times New Roman"/>
                <w:sz w:val="23"/>
                <w:szCs w:val="23"/>
              </w:rPr>
              <w:t xml:space="preserve"> (in attesa di approvazione definitiva)</w:t>
            </w:r>
          </w:p>
        </w:tc>
      </w:tr>
      <w:tr w:rsidR="00783577" w14:paraId="131726C0" w14:textId="77777777" w:rsidTr="00B1280B">
        <w:tc>
          <w:tcPr>
            <w:tcW w:w="3114" w:type="dxa"/>
            <w:vAlign w:val="center"/>
          </w:tcPr>
          <w:p w14:paraId="7740DF24" w14:textId="38D37757" w:rsidR="00783577" w:rsidRPr="005703A1" w:rsidRDefault="00783577"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PNC</w:t>
            </w:r>
          </w:p>
        </w:tc>
        <w:tc>
          <w:tcPr>
            <w:tcW w:w="6514" w:type="dxa"/>
            <w:vAlign w:val="center"/>
          </w:tcPr>
          <w:p w14:paraId="0EBD66A3" w14:textId="097EB849" w:rsidR="00783577" w:rsidRPr="005703A1" w:rsidRDefault="00783577" w:rsidP="00783577">
            <w:pPr>
              <w:spacing w:line="276" w:lineRule="auto"/>
              <w:ind w:right="-1"/>
              <w:jc w:val="both"/>
              <w:rPr>
                <w:rFonts w:ascii="Garamond" w:eastAsia="Calibri" w:hAnsi="Garamond" w:cs="Times New Roman"/>
                <w:sz w:val="23"/>
                <w:szCs w:val="23"/>
              </w:rPr>
            </w:pPr>
            <w:r w:rsidRPr="00783577">
              <w:rPr>
                <w:rFonts w:ascii="Garamond" w:eastAsia="Calibri" w:hAnsi="Garamond" w:cs="Times New Roman"/>
                <w:sz w:val="23"/>
                <w:szCs w:val="23"/>
              </w:rPr>
              <w:t xml:space="preserve">Piano </w:t>
            </w:r>
            <w:r>
              <w:rPr>
                <w:rFonts w:ascii="Garamond" w:eastAsia="Calibri" w:hAnsi="Garamond" w:cs="Times New Roman"/>
                <w:sz w:val="23"/>
                <w:szCs w:val="23"/>
              </w:rPr>
              <w:t>N</w:t>
            </w:r>
            <w:r w:rsidRPr="00783577">
              <w:rPr>
                <w:rFonts w:ascii="Garamond" w:eastAsia="Calibri" w:hAnsi="Garamond" w:cs="Times New Roman"/>
                <w:sz w:val="23"/>
                <w:szCs w:val="23"/>
              </w:rPr>
              <w:t xml:space="preserve">azionale degli investimenti </w:t>
            </w:r>
            <w:r>
              <w:rPr>
                <w:rFonts w:ascii="Garamond" w:eastAsia="Calibri" w:hAnsi="Garamond" w:cs="Times New Roman"/>
                <w:sz w:val="23"/>
                <w:szCs w:val="23"/>
              </w:rPr>
              <w:t>C</w:t>
            </w:r>
            <w:r w:rsidRPr="00783577">
              <w:rPr>
                <w:rFonts w:ascii="Garamond" w:eastAsia="Calibri" w:hAnsi="Garamond" w:cs="Times New Roman"/>
                <w:sz w:val="23"/>
                <w:szCs w:val="23"/>
              </w:rPr>
              <w:t>omplementari</w:t>
            </w:r>
          </w:p>
        </w:tc>
      </w:tr>
      <w:tr w:rsidR="00E14093" w14:paraId="32DE31F6" w14:textId="77777777" w:rsidTr="00B1280B">
        <w:tc>
          <w:tcPr>
            <w:tcW w:w="3114" w:type="dxa"/>
            <w:vAlign w:val="center"/>
          </w:tcPr>
          <w:p w14:paraId="0F98662D" w14:textId="6DE68D43" w:rsidR="00E14093" w:rsidRPr="005703A1" w:rsidRDefault="00E14093" w:rsidP="00E14093">
            <w:pPr>
              <w:spacing w:line="276" w:lineRule="auto"/>
              <w:ind w:right="-1"/>
              <w:jc w:val="both"/>
              <w:rPr>
                <w:rFonts w:ascii="Garamond" w:eastAsia="Calibri" w:hAnsi="Garamond" w:cs="Times New Roman"/>
                <w:sz w:val="23"/>
                <w:szCs w:val="23"/>
              </w:rPr>
            </w:pPr>
            <w:r w:rsidRPr="005703A1">
              <w:rPr>
                <w:rFonts w:ascii="Garamond" w:eastAsia="Calibri" w:hAnsi="Garamond" w:cs="Times New Roman"/>
                <w:sz w:val="23"/>
                <w:szCs w:val="23"/>
              </w:rPr>
              <w:t>PNRR</w:t>
            </w:r>
          </w:p>
        </w:tc>
        <w:tc>
          <w:tcPr>
            <w:tcW w:w="6514" w:type="dxa"/>
            <w:vAlign w:val="center"/>
          </w:tcPr>
          <w:p w14:paraId="64949327" w14:textId="26A94EEC" w:rsidR="00E14093" w:rsidRPr="005703A1" w:rsidRDefault="00E14093" w:rsidP="00E14093">
            <w:pPr>
              <w:spacing w:line="276" w:lineRule="auto"/>
              <w:ind w:right="-1"/>
              <w:jc w:val="both"/>
              <w:rPr>
                <w:rFonts w:ascii="Garamond" w:eastAsia="Calibri" w:hAnsi="Garamond" w:cs="Times New Roman"/>
                <w:sz w:val="23"/>
                <w:szCs w:val="23"/>
              </w:rPr>
            </w:pPr>
            <w:r w:rsidRPr="005703A1">
              <w:rPr>
                <w:rFonts w:ascii="Garamond" w:eastAsia="Calibri" w:hAnsi="Garamond" w:cs="Times New Roman"/>
                <w:sz w:val="23"/>
                <w:szCs w:val="23"/>
              </w:rPr>
              <w:t>Piano Nazionale di Ripresa e Resilienza</w:t>
            </w:r>
          </w:p>
        </w:tc>
      </w:tr>
      <w:tr w:rsidR="00E14093" w14:paraId="56F79C29" w14:textId="77777777" w:rsidTr="00B1280B">
        <w:tc>
          <w:tcPr>
            <w:tcW w:w="3114" w:type="dxa"/>
            <w:vAlign w:val="center"/>
          </w:tcPr>
          <w:p w14:paraId="112F6856" w14:textId="1F1E129B" w:rsidR="00E14093" w:rsidRDefault="00E14093"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PTPCT</w:t>
            </w:r>
          </w:p>
        </w:tc>
        <w:tc>
          <w:tcPr>
            <w:tcW w:w="6514" w:type="dxa"/>
            <w:vAlign w:val="center"/>
          </w:tcPr>
          <w:p w14:paraId="62C26708" w14:textId="1CAD456F" w:rsidR="00E14093" w:rsidRDefault="00E14093"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Piano Triennale di Prevenzione della Corruzione e della Trasparenza</w:t>
            </w:r>
          </w:p>
        </w:tc>
      </w:tr>
      <w:tr w:rsidR="00E14093" w14:paraId="47DD0CF3" w14:textId="77777777" w:rsidTr="00B1280B">
        <w:tc>
          <w:tcPr>
            <w:tcW w:w="3114" w:type="dxa"/>
            <w:vAlign w:val="center"/>
          </w:tcPr>
          <w:p w14:paraId="742EAD34" w14:textId="7FA8F176" w:rsidR="00E14093" w:rsidRDefault="00E14093"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RPCT</w:t>
            </w:r>
          </w:p>
        </w:tc>
        <w:tc>
          <w:tcPr>
            <w:tcW w:w="6514" w:type="dxa"/>
            <w:vAlign w:val="center"/>
          </w:tcPr>
          <w:p w14:paraId="3DB79BB4" w14:textId="53BCB725" w:rsidR="00E14093" w:rsidRDefault="00E14093"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Responsabile della Prevenzione della Corruzione e della Trasparenza</w:t>
            </w:r>
          </w:p>
        </w:tc>
      </w:tr>
      <w:tr w:rsidR="00783577" w14:paraId="50436A26" w14:textId="77777777" w:rsidTr="00B1280B">
        <w:tc>
          <w:tcPr>
            <w:tcW w:w="3114" w:type="dxa"/>
            <w:vAlign w:val="center"/>
          </w:tcPr>
          <w:p w14:paraId="35E16312" w14:textId="437F7A04" w:rsidR="00783577" w:rsidRDefault="00783577"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RUP</w:t>
            </w:r>
          </w:p>
        </w:tc>
        <w:tc>
          <w:tcPr>
            <w:tcW w:w="6514" w:type="dxa"/>
            <w:vAlign w:val="center"/>
          </w:tcPr>
          <w:p w14:paraId="22A287E0" w14:textId="25D20633" w:rsidR="00783577" w:rsidRDefault="00783577"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Responsabile Unico del Procedimento</w:t>
            </w:r>
          </w:p>
        </w:tc>
      </w:tr>
      <w:tr w:rsidR="00E14093" w14:paraId="0AAAD41F" w14:textId="77777777" w:rsidTr="00B1280B">
        <w:tc>
          <w:tcPr>
            <w:tcW w:w="3114" w:type="dxa"/>
            <w:vAlign w:val="center"/>
          </w:tcPr>
          <w:p w14:paraId="687870E7" w14:textId="353780BA" w:rsidR="00E14093" w:rsidRDefault="00E14093"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UPD</w:t>
            </w:r>
          </w:p>
        </w:tc>
        <w:tc>
          <w:tcPr>
            <w:tcW w:w="6514" w:type="dxa"/>
            <w:vAlign w:val="center"/>
          </w:tcPr>
          <w:p w14:paraId="6F90376A" w14:textId="34ABE33E" w:rsidR="00E14093" w:rsidRDefault="00E14093" w:rsidP="00E14093">
            <w:pPr>
              <w:spacing w:line="276" w:lineRule="auto"/>
              <w:ind w:right="-1"/>
              <w:jc w:val="both"/>
              <w:rPr>
                <w:rFonts w:ascii="Garamond" w:eastAsia="Calibri" w:hAnsi="Garamond" w:cs="Times New Roman"/>
                <w:sz w:val="23"/>
                <w:szCs w:val="23"/>
              </w:rPr>
            </w:pPr>
            <w:r>
              <w:rPr>
                <w:rFonts w:ascii="Garamond" w:eastAsia="Calibri" w:hAnsi="Garamond" w:cs="Times New Roman"/>
                <w:sz w:val="23"/>
                <w:szCs w:val="23"/>
              </w:rPr>
              <w:t>Ufficio Procedimenti Disciplinari</w:t>
            </w:r>
          </w:p>
        </w:tc>
      </w:tr>
    </w:tbl>
    <w:p w14:paraId="74EC2245" w14:textId="77777777" w:rsidR="00E14093" w:rsidRPr="00E14093" w:rsidRDefault="00E14093" w:rsidP="00E14093">
      <w:pPr>
        <w:spacing w:after="0" w:line="276" w:lineRule="auto"/>
        <w:ind w:right="-1"/>
        <w:jc w:val="both"/>
        <w:rPr>
          <w:rFonts w:ascii="Garamond" w:eastAsia="Calibri" w:hAnsi="Garamond" w:cs="Times New Roman"/>
          <w:sz w:val="23"/>
          <w:szCs w:val="23"/>
        </w:rPr>
      </w:pPr>
    </w:p>
    <w:p w14:paraId="27F0425E" w14:textId="00EC677E" w:rsidR="00E14093" w:rsidRPr="00E14093" w:rsidRDefault="00E14093">
      <w:pPr>
        <w:rPr>
          <w:rFonts w:ascii="Garamond" w:eastAsia="Calibri" w:hAnsi="Garamond" w:cs="Times New Roman"/>
          <w:sz w:val="23"/>
          <w:szCs w:val="23"/>
        </w:rPr>
      </w:pPr>
      <w:r w:rsidRPr="00E14093">
        <w:rPr>
          <w:rFonts w:ascii="Garamond" w:eastAsia="Calibri" w:hAnsi="Garamond" w:cs="Times New Roman"/>
          <w:sz w:val="23"/>
          <w:szCs w:val="23"/>
        </w:rPr>
        <w:br w:type="page"/>
      </w:r>
    </w:p>
    <w:p w14:paraId="27433E06" w14:textId="58CF68B1" w:rsidR="000427DA" w:rsidRPr="00967692" w:rsidRDefault="000427DA" w:rsidP="00582EFE">
      <w:pPr>
        <w:spacing w:after="0" w:line="276" w:lineRule="auto"/>
        <w:jc w:val="both"/>
        <w:outlineLvl w:val="0"/>
        <w:rPr>
          <w:rFonts w:ascii="Garamond" w:eastAsia="Calibri" w:hAnsi="Garamond" w:cs="Times New Roman"/>
          <w:b/>
          <w:sz w:val="28"/>
          <w:szCs w:val="28"/>
        </w:rPr>
      </w:pPr>
      <w:r w:rsidRPr="00967692">
        <w:rPr>
          <w:rFonts w:ascii="Garamond" w:eastAsia="Calibri" w:hAnsi="Garamond" w:cs="Times New Roman"/>
          <w:b/>
          <w:sz w:val="28"/>
          <w:szCs w:val="28"/>
        </w:rPr>
        <w:lastRenderedPageBreak/>
        <w:t>2.4 RISCHI CORRUTTIVI E TRASPARENZA</w:t>
      </w:r>
      <w:bookmarkEnd w:id="3"/>
    </w:p>
    <w:p w14:paraId="27E0F6EE" w14:textId="77777777" w:rsidR="00213816" w:rsidRPr="00E13625" w:rsidRDefault="00213816" w:rsidP="00582EFE">
      <w:pPr>
        <w:spacing w:after="0" w:line="276" w:lineRule="auto"/>
        <w:ind w:right="-1"/>
        <w:jc w:val="both"/>
        <w:rPr>
          <w:rFonts w:ascii="Garamond" w:eastAsia="Calibri" w:hAnsi="Garamond" w:cs="Times New Roman"/>
          <w:strike/>
          <w:sz w:val="23"/>
          <w:szCs w:val="23"/>
        </w:rPr>
      </w:pPr>
    </w:p>
    <w:p w14:paraId="59AF421F" w14:textId="12213AAD" w:rsidR="00615513" w:rsidRPr="00B06973" w:rsidRDefault="00C17DA0" w:rsidP="00582EFE">
      <w:pPr>
        <w:spacing w:after="0" w:line="276" w:lineRule="auto"/>
        <w:ind w:right="-1"/>
        <w:jc w:val="both"/>
        <w:outlineLvl w:val="1"/>
        <w:rPr>
          <w:rFonts w:ascii="Garamond" w:eastAsia="Calibri" w:hAnsi="Garamond" w:cs="Times New Roman"/>
          <w:b/>
          <w:sz w:val="23"/>
          <w:szCs w:val="23"/>
        </w:rPr>
      </w:pPr>
      <w:bookmarkStart w:id="4" w:name="_Toc102136701"/>
      <w:r>
        <w:rPr>
          <w:rFonts w:ascii="Garamond" w:eastAsia="Calibri" w:hAnsi="Garamond" w:cs="Times New Roman"/>
          <w:b/>
          <w:sz w:val="23"/>
          <w:szCs w:val="23"/>
        </w:rPr>
        <w:t xml:space="preserve">2.4.1 </w:t>
      </w:r>
      <w:r w:rsidR="00B06973" w:rsidRPr="00E13625">
        <w:rPr>
          <w:rFonts w:ascii="Garamond" w:eastAsia="Calibri" w:hAnsi="Garamond" w:cs="Times New Roman"/>
          <w:b/>
          <w:sz w:val="23"/>
          <w:szCs w:val="23"/>
        </w:rPr>
        <w:t>PARTE GENERALE</w:t>
      </w:r>
      <w:bookmarkEnd w:id="4"/>
    </w:p>
    <w:p w14:paraId="33888637" w14:textId="77777777" w:rsidR="00615513" w:rsidRPr="00211370" w:rsidRDefault="00615513" w:rsidP="00582EFE">
      <w:pPr>
        <w:spacing w:after="0" w:line="276" w:lineRule="auto"/>
        <w:ind w:right="-1"/>
        <w:jc w:val="both"/>
        <w:rPr>
          <w:rFonts w:ascii="Garamond" w:eastAsia="Calibri" w:hAnsi="Garamond" w:cs="Times New Roman"/>
          <w:strike/>
          <w:sz w:val="23"/>
          <w:szCs w:val="23"/>
        </w:rPr>
      </w:pPr>
    </w:p>
    <w:p w14:paraId="236316B8" w14:textId="3A794584" w:rsidR="00077227" w:rsidRPr="00211370" w:rsidRDefault="006E0A2B" w:rsidP="00582EFE">
      <w:pPr>
        <w:spacing w:after="0" w:line="276" w:lineRule="auto"/>
        <w:ind w:right="-1"/>
        <w:jc w:val="both"/>
        <w:rPr>
          <w:rFonts w:ascii="Garamond" w:eastAsia="Calibri" w:hAnsi="Garamond" w:cs="Times New Roman"/>
          <w:sz w:val="23"/>
          <w:szCs w:val="23"/>
        </w:rPr>
      </w:pPr>
      <w:r w:rsidRPr="00211370">
        <w:rPr>
          <w:rFonts w:ascii="Garamond" w:hAnsi="Garamond" w:cs="Times New Roman"/>
          <w:sz w:val="23"/>
          <w:szCs w:val="23"/>
        </w:rPr>
        <w:t xml:space="preserve">La presente </w:t>
      </w:r>
      <w:r w:rsidR="00943651" w:rsidRPr="00211370">
        <w:rPr>
          <w:rFonts w:ascii="Garamond" w:hAnsi="Garamond" w:cs="Times New Roman"/>
          <w:sz w:val="23"/>
          <w:szCs w:val="23"/>
        </w:rPr>
        <w:t>Sottosezione</w:t>
      </w:r>
      <w:r w:rsidR="00EA57A1" w:rsidRPr="00211370">
        <w:rPr>
          <w:rFonts w:ascii="Garamond" w:hAnsi="Garamond" w:cs="Times New Roman"/>
          <w:sz w:val="23"/>
          <w:szCs w:val="23"/>
        </w:rPr>
        <w:t xml:space="preserve"> </w:t>
      </w:r>
      <w:r w:rsidRPr="00211370">
        <w:rPr>
          <w:rFonts w:ascii="Garamond" w:hAnsi="Garamond" w:cs="Times New Roman"/>
          <w:sz w:val="23"/>
          <w:szCs w:val="23"/>
        </w:rPr>
        <w:t>del Piano è stata elaborata alla luce delle indicazioni metodologiche per la gestione dei rischi corruttivi con</w:t>
      </w:r>
      <w:r w:rsidR="000A0752" w:rsidRPr="00211370">
        <w:rPr>
          <w:rFonts w:ascii="Garamond" w:hAnsi="Garamond" w:cs="Times New Roman"/>
          <w:sz w:val="23"/>
          <w:szCs w:val="23"/>
        </w:rPr>
        <w:t xml:space="preserve">tenute nel Piano Nazionale </w:t>
      </w:r>
      <w:r w:rsidR="00E1319C" w:rsidRPr="00211370">
        <w:rPr>
          <w:rFonts w:ascii="Garamond" w:hAnsi="Garamond" w:cs="Times New Roman"/>
          <w:sz w:val="23"/>
          <w:szCs w:val="23"/>
        </w:rPr>
        <w:t>Anticorruzione</w:t>
      </w:r>
      <w:r w:rsidR="009A54E1" w:rsidRPr="00211370">
        <w:rPr>
          <w:rFonts w:ascii="Garamond" w:hAnsi="Garamond" w:cs="Times New Roman"/>
          <w:sz w:val="23"/>
          <w:szCs w:val="23"/>
        </w:rPr>
        <w:t xml:space="preserve"> (PNA)</w:t>
      </w:r>
      <w:r w:rsidR="00E1319C" w:rsidRPr="00211370">
        <w:rPr>
          <w:rFonts w:ascii="Garamond" w:hAnsi="Garamond" w:cs="Times New Roman"/>
          <w:sz w:val="23"/>
          <w:szCs w:val="23"/>
        </w:rPr>
        <w:t xml:space="preserve"> </w:t>
      </w:r>
      <w:r w:rsidR="000A0752" w:rsidRPr="00211370">
        <w:rPr>
          <w:rFonts w:ascii="Garamond" w:hAnsi="Garamond" w:cs="Times New Roman"/>
          <w:sz w:val="23"/>
          <w:szCs w:val="23"/>
        </w:rPr>
        <w:t>2019</w:t>
      </w:r>
      <w:r w:rsidR="00BE649C" w:rsidRPr="00211370">
        <w:rPr>
          <w:rFonts w:ascii="Garamond" w:hAnsi="Garamond" w:cs="Times New Roman"/>
          <w:sz w:val="23"/>
          <w:szCs w:val="23"/>
        </w:rPr>
        <w:t>, che costituisce atto di indirizzo per le pubbliche amministrazioni, nonché</w:t>
      </w:r>
      <w:r w:rsidR="00D2772B" w:rsidRPr="00211370">
        <w:rPr>
          <w:rFonts w:ascii="Garamond" w:hAnsi="Garamond" w:cs="Times New Roman"/>
          <w:sz w:val="23"/>
          <w:szCs w:val="23"/>
        </w:rPr>
        <w:t xml:space="preserve"> </w:t>
      </w:r>
      <w:r w:rsidR="00D2772B" w:rsidRPr="00211370">
        <w:rPr>
          <w:rFonts w:ascii="Garamond" w:eastAsia="Calibri" w:hAnsi="Garamond" w:cs="Times New Roman"/>
          <w:sz w:val="23"/>
          <w:szCs w:val="23"/>
        </w:rPr>
        <w:t>degli obiettivi strategici in materia di Trasparenza e Anticorruzione delineati dalla D.G.R. n. 20 del 20/01/2020</w:t>
      </w:r>
      <w:r w:rsidR="00077227" w:rsidRPr="00211370">
        <w:rPr>
          <w:rFonts w:ascii="Garamond" w:eastAsia="Calibri" w:hAnsi="Garamond" w:cs="Times New Roman"/>
          <w:sz w:val="23"/>
          <w:szCs w:val="23"/>
        </w:rPr>
        <w:t xml:space="preserve"> e degli “Orientamenti per la pianificazione anticorruzione e trasparenza 2022” approvati dal Consiglio dell’ANAC il 2 febbraio 2022</w:t>
      </w:r>
      <w:r w:rsidR="00D2772B" w:rsidRPr="00211370">
        <w:rPr>
          <w:rFonts w:ascii="Garamond" w:eastAsia="Calibri" w:hAnsi="Garamond" w:cs="Times New Roman"/>
          <w:sz w:val="23"/>
          <w:szCs w:val="23"/>
        </w:rPr>
        <w:t>.</w:t>
      </w:r>
      <w:r w:rsidR="00E1319C" w:rsidRPr="00211370">
        <w:rPr>
          <w:rFonts w:ascii="Garamond" w:eastAsia="Calibri" w:hAnsi="Garamond" w:cs="Times New Roman"/>
          <w:sz w:val="23"/>
          <w:szCs w:val="23"/>
        </w:rPr>
        <w:t xml:space="preserve"> </w:t>
      </w:r>
      <w:r w:rsidR="00582EFE" w:rsidRPr="00211370">
        <w:rPr>
          <w:rFonts w:ascii="Garamond" w:eastAsia="Calibri" w:hAnsi="Garamond" w:cs="Times New Roman"/>
          <w:sz w:val="23"/>
          <w:szCs w:val="23"/>
        </w:rPr>
        <w:t>Nelle more dell</w:t>
      </w:r>
      <w:r w:rsidR="00EA57A1" w:rsidRPr="00211370">
        <w:rPr>
          <w:rFonts w:ascii="Garamond" w:eastAsia="Calibri" w:hAnsi="Garamond" w:cs="Times New Roman"/>
          <w:sz w:val="23"/>
          <w:szCs w:val="23"/>
        </w:rPr>
        <w:t>’</w:t>
      </w:r>
      <w:r w:rsidR="00E1319C" w:rsidRPr="00211370">
        <w:rPr>
          <w:rFonts w:ascii="Garamond" w:eastAsia="Calibri" w:hAnsi="Garamond" w:cs="Times New Roman"/>
          <w:sz w:val="23"/>
          <w:szCs w:val="23"/>
        </w:rPr>
        <w:t xml:space="preserve">approvazione in via definitiva del </w:t>
      </w:r>
      <w:r w:rsidR="009A54E1" w:rsidRPr="00211370">
        <w:rPr>
          <w:rFonts w:ascii="Garamond" w:eastAsia="Calibri" w:hAnsi="Garamond" w:cs="Times New Roman"/>
          <w:sz w:val="23"/>
          <w:szCs w:val="23"/>
        </w:rPr>
        <w:t>PNA</w:t>
      </w:r>
      <w:r w:rsidR="00E1319C" w:rsidRPr="00211370">
        <w:rPr>
          <w:rFonts w:ascii="Garamond" w:eastAsia="Calibri" w:hAnsi="Garamond" w:cs="Times New Roman"/>
          <w:sz w:val="23"/>
          <w:szCs w:val="23"/>
        </w:rPr>
        <w:t xml:space="preserve"> 2022, si è tenuto conto</w:t>
      </w:r>
      <w:r w:rsidR="00EA57A1" w:rsidRPr="00211370">
        <w:rPr>
          <w:rFonts w:ascii="Garamond" w:eastAsia="Calibri" w:hAnsi="Garamond" w:cs="Times New Roman"/>
          <w:sz w:val="23"/>
          <w:szCs w:val="23"/>
        </w:rPr>
        <w:t>,</w:t>
      </w:r>
      <w:r w:rsidR="00E1319C" w:rsidRPr="00211370">
        <w:rPr>
          <w:rFonts w:ascii="Garamond" w:eastAsia="Calibri" w:hAnsi="Garamond" w:cs="Times New Roman"/>
          <w:sz w:val="23"/>
          <w:szCs w:val="23"/>
        </w:rPr>
        <w:t xml:space="preserve"> altresì</w:t>
      </w:r>
      <w:r w:rsidR="00EA57A1" w:rsidRPr="00211370">
        <w:rPr>
          <w:rFonts w:ascii="Garamond" w:eastAsia="Calibri" w:hAnsi="Garamond" w:cs="Times New Roman"/>
          <w:sz w:val="23"/>
          <w:szCs w:val="23"/>
        </w:rPr>
        <w:t>,</w:t>
      </w:r>
      <w:r w:rsidR="00E1319C" w:rsidRPr="00211370">
        <w:rPr>
          <w:rFonts w:ascii="Garamond" w:eastAsia="Calibri" w:hAnsi="Garamond" w:cs="Times New Roman"/>
          <w:sz w:val="23"/>
          <w:szCs w:val="23"/>
        </w:rPr>
        <w:t xml:space="preserve"> di alcune delle indicazioni </w:t>
      </w:r>
      <w:r w:rsidR="00E1319C" w:rsidRPr="00211370">
        <w:rPr>
          <w:rFonts w:ascii="Garamond" w:hAnsi="Garamond" w:cs="Times New Roman"/>
          <w:sz w:val="23"/>
          <w:szCs w:val="23"/>
        </w:rPr>
        <w:t>metodologiche per la gestione dei rischi corruttivi contenute nella versione del</w:t>
      </w:r>
      <w:r w:rsidR="00077227" w:rsidRPr="00211370">
        <w:rPr>
          <w:rFonts w:ascii="Garamond" w:hAnsi="Garamond" w:cs="Times New Roman"/>
          <w:sz w:val="23"/>
          <w:szCs w:val="23"/>
        </w:rPr>
        <w:t xml:space="preserve"> </w:t>
      </w:r>
      <w:r w:rsidR="00BE649C" w:rsidRPr="00211370">
        <w:rPr>
          <w:rFonts w:ascii="Garamond" w:hAnsi="Garamond" w:cs="Times New Roman"/>
          <w:sz w:val="23"/>
          <w:szCs w:val="23"/>
        </w:rPr>
        <w:t xml:space="preserve">PNA </w:t>
      </w:r>
      <w:r w:rsidR="00E1319C" w:rsidRPr="00211370">
        <w:rPr>
          <w:rFonts w:ascii="Garamond" w:eastAsia="Calibri" w:hAnsi="Garamond" w:cs="Times New Roman"/>
          <w:sz w:val="23"/>
          <w:szCs w:val="23"/>
        </w:rPr>
        <w:t>approvata dal Consigli</w:t>
      </w:r>
      <w:r w:rsidR="00077227" w:rsidRPr="00211370">
        <w:rPr>
          <w:rFonts w:ascii="Garamond" w:eastAsia="Calibri" w:hAnsi="Garamond" w:cs="Times New Roman"/>
          <w:sz w:val="23"/>
          <w:szCs w:val="23"/>
        </w:rPr>
        <w:t>o dell'ANAC il 16 novembre 2022, in un’ottica di progressivo avvicinamento alle modalità di pianificazione delle misure di prevenzione della corruzione e della trasparenza in esso contenute che tengono conto delle modifiche normative intervenute.</w:t>
      </w:r>
    </w:p>
    <w:p w14:paraId="2038ADCD" w14:textId="205974D1" w:rsidR="009A54E1" w:rsidRPr="005E614F" w:rsidRDefault="009A54E1" w:rsidP="00582EFE">
      <w:pPr>
        <w:spacing w:after="0" w:line="276" w:lineRule="auto"/>
        <w:ind w:right="-1"/>
        <w:jc w:val="both"/>
        <w:rPr>
          <w:rFonts w:ascii="Garamond" w:hAnsi="Garamond" w:cs="Times New Roman"/>
          <w:color w:val="FF0000"/>
          <w:sz w:val="23"/>
          <w:szCs w:val="23"/>
        </w:rPr>
      </w:pPr>
      <w:r w:rsidRPr="00211370">
        <w:rPr>
          <w:rFonts w:ascii="Garamond" w:eastAsia="Calibri" w:hAnsi="Garamond" w:cs="Times New Roman"/>
          <w:sz w:val="23"/>
          <w:szCs w:val="23"/>
        </w:rPr>
        <w:t xml:space="preserve">Il PNA 2022 si colloca </w:t>
      </w:r>
      <w:r w:rsidR="00077227" w:rsidRPr="00211370">
        <w:rPr>
          <w:rFonts w:ascii="Garamond" w:eastAsia="Calibri" w:hAnsi="Garamond" w:cs="Times New Roman"/>
          <w:sz w:val="23"/>
          <w:szCs w:val="23"/>
        </w:rPr>
        <w:t xml:space="preserve">infatti </w:t>
      </w:r>
      <w:r w:rsidRPr="00211370">
        <w:rPr>
          <w:rFonts w:ascii="Garamond" w:eastAsia="Calibri" w:hAnsi="Garamond" w:cs="Times New Roman"/>
          <w:sz w:val="23"/>
          <w:szCs w:val="23"/>
        </w:rPr>
        <w:t>in una fase storica caratterizzata da forti cambiamenti dovuti, in particolare, alle riforme connesse agli impegni assunti dall’Italia con il Piano Nazionale di Ripresa e Resilienza (PNRR), impegni che riguardano, in modo peculiare, il settore dei contratti pubblici</w:t>
      </w:r>
      <w:r>
        <w:rPr>
          <w:rFonts w:ascii="Garamond" w:eastAsia="Calibri" w:hAnsi="Garamond" w:cs="Times New Roman"/>
          <w:color w:val="FF0000"/>
          <w:sz w:val="23"/>
          <w:szCs w:val="23"/>
        </w:rPr>
        <w:t>.</w:t>
      </w:r>
    </w:p>
    <w:p w14:paraId="6E160EC0" w14:textId="3CA2824E" w:rsidR="00032A30" w:rsidRPr="00211370" w:rsidRDefault="00032A30" w:rsidP="00BE649C">
      <w:pPr>
        <w:pStyle w:val="Paragrafoelenco"/>
        <w:spacing w:after="0" w:line="276" w:lineRule="auto"/>
        <w:ind w:left="0" w:right="-1"/>
        <w:contextualSpacing w:val="0"/>
        <w:jc w:val="both"/>
        <w:rPr>
          <w:rFonts w:ascii="Garamond" w:hAnsi="Garamond" w:cs="Times New Roman"/>
          <w:sz w:val="23"/>
          <w:szCs w:val="23"/>
        </w:rPr>
      </w:pPr>
      <w:r w:rsidRPr="00211370">
        <w:rPr>
          <w:rFonts w:ascii="Garamond" w:hAnsi="Garamond" w:cs="Times New Roman"/>
          <w:sz w:val="23"/>
          <w:szCs w:val="23"/>
        </w:rPr>
        <w:t xml:space="preserve">Nelle indicazioni metodologiche sulla gestione del rischio </w:t>
      </w:r>
      <w:r w:rsidRPr="00BB0D90">
        <w:rPr>
          <w:rFonts w:ascii="Garamond" w:hAnsi="Garamond" w:cs="Times New Roman"/>
          <w:sz w:val="23"/>
          <w:szCs w:val="23"/>
        </w:rPr>
        <w:t>corruttivo</w:t>
      </w:r>
      <w:r w:rsidR="00505C3E" w:rsidRPr="00BB0D90">
        <w:rPr>
          <w:rFonts w:ascii="Garamond" w:hAnsi="Garamond" w:cs="Times New Roman"/>
          <w:sz w:val="23"/>
          <w:szCs w:val="23"/>
        </w:rPr>
        <w:t xml:space="preserve"> fornite con il PNA 2022</w:t>
      </w:r>
      <w:r w:rsidRPr="00BB0D90">
        <w:rPr>
          <w:rFonts w:ascii="Garamond" w:hAnsi="Garamond" w:cs="Times New Roman"/>
          <w:sz w:val="23"/>
          <w:szCs w:val="23"/>
        </w:rPr>
        <w:t xml:space="preserve">, l’ANAC </w:t>
      </w:r>
      <w:r w:rsidRPr="00211370">
        <w:rPr>
          <w:rFonts w:ascii="Garamond" w:hAnsi="Garamond" w:cs="Times New Roman"/>
          <w:sz w:val="23"/>
          <w:szCs w:val="23"/>
        </w:rPr>
        <w:t xml:space="preserve">avuto cura di indicare su quali ambiti di attività è senza dubbio prioritario che le amministrazioni si concentrino nell’individuare misure della prevenzione della corruzione. Si tratta di quei </w:t>
      </w:r>
      <w:r w:rsidRPr="00211370">
        <w:rPr>
          <w:rFonts w:ascii="Garamond" w:hAnsi="Garamond" w:cs="Times New Roman"/>
          <w:sz w:val="23"/>
          <w:szCs w:val="23"/>
          <w:u w:val="single"/>
        </w:rPr>
        <w:t>settori in cui vengono gestiti fondi strutturali e del PNRR</w:t>
      </w:r>
      <w:r w:rsidRPr="00211370">
        <w:rPr>
          <w:rFonts w:ascii="Garamond" w:hAnsi="Garamond" w:cs="Times New Roman"/>
          <w:sz w:val="23"/>
          <w:szCs w:val="23"/>
        </w:rPr>
        <w:t xml:space="preserve"> e in cui è necessario mettere a sistema le risorse disponibili (umane, finanziarie e strumentali) per il raggiungimento degli obiettivi di </w:t>
      </w:r>
      <w:r w:rsidRPr="00211370">
        <w:rPr>
          <w:rFonts w:ascii="Garamond" w:hAnsi="Garamond" w:cs="Times New Roman"/>
          <w:i/>
          <w:sz w:val="23"/>
          <w:szCs w:val="23"/>
        </w:rPr>
        <w:t>performance</w:t>
      </w:r>
      <w:r w:rsidRPr="00211370">
        <w:rPr>
          <w:rFonts w:ascii="Garamond" w:hAnsi="Garamond" w:cs="Times New Roman"/>
          <w:sz w:val="23"/>
          <w:szCs w:val="23"/>
        </w:rPr>
        <w:t xml:space="preserve"> volti alla creazione di valore pubblico. In tali ambiti è più elevato il rischio di fenomeni corruttivi dovuti alle quantità di flusso di denaro coinvolte.</w:t>
      </w:r>
    </w:p>
    <w:p w14:paraId="3676FDFB" w14:textId="36491695" w:rsidR="00920698" w:rsidRPr="00505C3E" w:rsidRDefault="00920698" w:rsidP="00BE649C">
      <w:pPr>
        <w:pStyle w:val="Paragrafoelenco"/>
        <w:spacing w:after="0" w:line="276" w:lineRule="auto"/>
        <w:ind w:left="0" w:right="-1"/>
        <w:contextualSpacing w:val="0"/>
        <w:jc w:val="both"/>
        <w:rPr>
          <w:rFonts w:ascii="Garamond" w:hAnsi="Garamond" w:cs="Times New Roman"/>
          <w:color w:val="FF0000"/>
          <w:sz w:val="23"/>
          <w:szCs w:val="23"/>
        </w:rPr>
      </w:pPr>
      <w:r w:rsidRPr="00211370">
        <w:rPr>
          <w:rFonts w:ascii="Garamond" w:hAnsi="Garamond" w:cs="Times New Roman"/>
          <w:sz w:val="23"/>
          <w:szCs w:val="23"/>
        </w:rPr>
        <w:t>Nella parte generale del PNA 2022 un approfondimento è stato</w:t>
      </w:r>
      <w:r w:rsidR="00176111" w:rsidRPr="00274946">
        <w:rPr>
          <w:rFonts w:ascii="Garamond" w:hAnsi="Garamond" w:cs="Times New Roman"/>
          <w:sz w:val="23"/>
          <w:szCs w:val="23"/>
        </w:rPr>
        <w:t>, inoltre</w:t>
      </w:r>
      <w:r w:rsidR="00176111" w:rsidRPr="00505C3E">
        <w:rPr>
          <w:rFonts w:ascii="Garamond" w:hAnsi="Garamond" w:cs="Times New Roman"/>
          <w:strike/>
          <w:sz w:val="23"/>
          <w:szCs w:val="23"/>
        </w:rPr>
        <w:t>,</w:t>
      </w:r>
      <w:r w:rsidRPr="00211370">
        <w:rPr>
          <w:rFonts w:ascii="Garamond" w:hAnsi="Garamond" w:cs="Times New Roman"/>
          <w:sz w:val="23"/>
          <w:szCs w:val="23"/>
        </w:rPr>
        <w:t xml:space="preserve"> dedicato al divieto di </w:t>
      </w:r>
      <w:proofErr w:type="spellStart"/>
      <w:r w:rsidRPr="00211370">
        <w:rPr>
          <w:rFonts w:ascii="Garamond" w:hAnsi="Garamond" w:cs="Times New Roman"/>
          <w:i/>
          <w:sz w:val="23"/>
          <w:szCs w:val="23"/>
        </w:rPr>
        <w:t>pantouflage</w:t>
      </w:r>
      <w:proofErr w:type="spellEnd"/>
      <w:r w:rsidRPr="00211370">
        <w:rPr>
          <w:rFonts w:ascii="Garamond" w:hAnsi="Garamond" w:cs="Times New Roman"/>
          <w:sz w:val="23"/>
          <w:szCs w:val="23"/>
        </w:rPr>
        <w:t xml:space="preserve">, ipotesi di conflitto di interessi da inquadrare come incompatibilità successiva, in quanto l’Autorità ha rilevato, nella propria attività di vigilanza, dei problemi per chi deve attuarlo anche a causa della scarna formulazione </w:t>
      </w:r>
      <w:r w:rsidR="00C342FD" w:rsidRPr="00211370">
        <w:rPr>
          <w:rFonts w:ascii="Garamond" w:hAnsi="Garamond" w:cs="Times New Roman"/>
          <w:sz w:val="23"/>
          <w:szCs w:val="23"/>
        </w:rPr>
        <w:t>della norma.</w:t>
      </w:r>
    </w:p>
    <w:p w14:paraId="641620CF" w14:textId="77777777" w:rsidR="00CD0455" w:rsidRDefault="00F2446D" w:rsidP="00BE649C">
      <w:pPr>
        <w:pStyle w:val="Paragrafoelenco"/>
        <w:spacing w:after="0" w:line="276" w:lineRule="auto"/>
        <w:ind w:left="0" w:right="-1"/>
        <w:contextualSpacing w:val="0"/>
        <w:jc w:val="both"/>
        <w:rPr>
          <w:rFonts w:ascii="Garamond" w:hAnsi="Garamond" w:cs="Times New Roman"/>
          <w:sz w:val="23"/>
          <w:szCs w:val="23"/>
        </w:rPr>
      </w:pPr>
      <w:r w:rsidRPr="00211370">
        <w:rPr>
          <w:rFonts w:ascii="Garamond" w:hAnsi="Garamond" w:cs="Times New Roman"/>
          <w:sz w:val="23"/>
          <w:szCs w:val="23"/>
        </w:rPr>
        <w:t>La parte speciale del</w:t>
      </w:r>
      <w:r w:rsidR="00032A30" w:rsidRPr="00211370">
        <w:rPr>
          <w:rFonts w:ascii="Garamond" w:hAnsi="Garamond" w:cs="Times New Roman"/>
          <w:sz w:val="23"/>
          <w:szCs w:val="23"/>
        </w:rPr>
        <w:t xml:space="preserve"> PNA 2022 </w:t>
      </w:r>
      <w:r w:rsidRPr="00211370">
        <w:rPr>
          <w:rFonts w:ascii="Garamond" w:hAnsi="Garamond" w:cs="Times New Roman"/>
          <w:sz w:val="23"/>
          <w:szCs w:val="23"/>
        </w:rPr>
        <w:t>è invece dedicata ai contratti pubblici</w:t>
      </w:r>
      <w:r w:rsidR="00032A30" w:rsidRPr="00211370">
        <w:rPr>
          <w:rFonts w:ascii="Garamond" w:hAnsi="Garamond" w:cs="Times New Roman"/>
          <w:sz w:val="23"/>
          <w:szCs w:val="23"/>
        </w:rPr>
        <w:t xml:space="preserve">, </w:t>
      </w:r>
      <w:r w:rsidRPr="00211370">
        <w:rPr>
          <w:rFonts w:ascii="Garamond" w:hAnsi="Garamond" w:cs="Times New Roman"/>
          <w:sz w:val="23"/>
          <w:szCs w:val="23"/>
        </w:rPr>
        <w:t xml:space="preserve">ambito a cui lo stesso PNRR dedica cruciali riforme. Tale </w:t>
      </w:r>
      <w:r w:rsidR="00032A30" w:rsidRPr="00211370">
        <w:rPr>
          <w:rFonts w:ascii="Garamond" w:hAnsi="Garamond" w:cs="Times New Roman"/>
          <w:sz w:val="23"/>
          <w:szCs w:val="23"/>
        </w:rPr>
        <w:t>parte speciale</w:t>
      </w:r>
      <w:r w:rsidRPr="00211370">
        <w:rPr>
          <w:rFonts w:ascii="Garamond" w:hAnsi="Garamond" w:cs="Times New Roman"/>
          <w:sz w:val="23"/>
          <w:szCs w:val="23"/>
        </w:rPr>
        <w:t xml:space="preserve">, alla luce dei numerosi interventi legislativi in materia di contratti e dell’introduzione di specifiche legislazioni di carattere speciale e derogatorio, risulta appunto </w:t>
      </w:r>
      <w:r w:rsidR="00032A30" w:rsidRPr="00211370">
        <w:rPr>
          <w:rFonts w:ascii="Garamond" w:hAnsi="Garamond" w:cs="Times New Roman"/>
          <w:sz w:val="23"/>
          <w:szCs w:val="23"/>
        </w:rPr>
        <w:t xml:space="preserve">incentrata sulla disciplina </w:t>
      </w:r>
      <w:r w:rsidRPr="00211370">
        <w:rPr>
          <w:rFonts w:ascii="Garamond" w:hAnsi="Garamond" w:cs="Times New Roman"/>
          <w:sz w:val="23"/>
          <w:szCs w:val="23"/>
        </w:rPr>
        <w:t xml:space="preserve">speciale e </w:t>
      </w:r>
      <w:r w:rsidR="00032A30" w:rsidRPr="00211370">
        <w:rPr>
          <w:rFonts w:ascii="Garamond" w:hAnsi="Garamond" w:cs="Times New Roman"/>
          <w:sz w:val="23"/>
          <w:szCs w:val="23"/>
        </w:rPr>
        <w:t>derogatoria in materia di contratti pubblici, a cui si è fatto frequente ricorso per far fronte all’emergenza pandemica e all’urgenza di realizzare interventi infrastrutturali di grande interesse per il Paese.</w:t>
      </w:r>
    </w:p>
    <w:p w14:paraId="4D27BFDB" w14:textId="5BAA2200" w:rsidR="0029268E" w:rsidRPr="00CD0455" w:rsidRDefault="00CD0455" w:rsidP="00BE649C">
      <w:pPr>
        <w:pStyle w:val="Paragrafoelenco"/>
        <w:spacing w:after="0" w:line="276" w:lineRule="auto"/>
        <w:ind w:left="0" w:right="-1"/>
        <w:contextualSpacing w:val="0"/>
        <w:jc w:val="both"/>
        <w:rPr>
          <w:rFonts w:ascii="Garamond" w:hAnsi="Garamond" w:cs="Times New Roman"/>
          <w:color w:val="FF0000"/>
          <w:sz w:val="23"/>
          <w:szCs w:val="23"/>
        </w:rPr>
      </w:pPr>
      <w:r w:rsidRPr="00433407">
        <w:rPr>
          <w:rFonts w:ascii="Garamond" w:hAnsi="Garamond" w:cs="Times New Roman"/>
          <w:sz w:val="23"/>
          <w:szCs w:val="23"/>
        </w:rPr>
        <w:t xml:space="preserve">Al riguardo nella presente Sottosezione, e nei relativi allegati, sono stati recepiti, laddove non ancora presenti, gli strumenti operativi (in termini di misure) raccomandati da ANAC in relazione: al divieto di </w:t>
      </w:r>
      <w:proofErr w:type="spellStart"/>
      <w:r w:rsidRPr="00433407">
        <w:rPr>
          <w:rFonts w:ascii="Garamond" w:hAnsi="Garamond" w:cs="Times New Roman"/>
          <w:i/>
          <w:sz w:val="23"/>
          <w:szCs w:val="23"/>
        </w:rPr>
        <w:t>pantouflage</w:t>
      </w:r>
      <w:proofErr w:type="spellEnd"/>
      <w:r w:rsidRPr="00433407">
        <w:rPr>
          <w:rFonts w:ascii="Garamond" w:hAnsi="Garamond" w:cs="Times New Roman"/>
          <w:sz w:val="23"/>
          <w:szCs w:val="23"/>
        </w:rPr>
        <w:t>; alla disciplina derogatoria in materia di contratti pubblici e PNRR; ai conflitti di interessi in materia di contratti pubblici.</w:t>
      </w:r>
    </w:p>
    <w:p w14:paraId="3D241AAF" w14:textId="58365EF9" w:rsidR="00745E42" w:rsidRPr="00176111" w:rsidRDefault="00BE649C" w:rsidP="00582EFE">
      <w:pPr>
        <w:autoSpaceDE w:val="0"/>
        <w:autoSpaceDN w:val="0"/>
        <w:adjustRightInd w:val="0"/>
        <w:spacing w:after="0" w:line="276" w:lineRule="auto"/>
        <w:ind w:right="-1"/>
        <w:jc w:val="both"/>
        <w:rPr>
          <w:rFonts w:ascii="Garamond" w:eastAsia="Calibri" w:hAnsi="Garamond" w:cs="Times New Roman"/>
          <w:sz w:val="23"/>
          <w:szCs w:val="23"/>
        </w:rPr>
      </w:pPr>
      <w:r>
        <w:rPr>
          <w:rFonts w:ascii="Garamond" w:eastAsia="Calibri" w:hAnsi="Garamond" w:cs="Times New Roman"/>
          <w:color w:val="000000"/>
          <w:sz w:val="23"/>
          <w:szCs w:val="23"/>
        </w:rPr>
        <w:t xml:space="preserve">Coerentemente con quanto disposto dal </w:t>
      </w:r>
      <w:r w:rsidRPr="00BE649C">
        <w:rPr>
          <w:rFonts w:ascii="Garamond" w:eastAsia="Calibri" w:hAnsi="Garamond" w:cs="Times New Roman"/>
          <w:color w:val="000000"/>
          <w:sz w:val="23"/>
          <w:szCs w:val="23"/>
        </w:rPr>
        <w:t>DM del 30 giugno 2022 n. 132, “Regolamento recante definizione del contenuto del Piano integrato di attività e organizzazione”</w:t>
      </w:r>
      <w:r>
        <w:rPr>
          <w:rFonts w:ascii="Garamond" w:eastAsia="Calibri" w:hAnsi="Garamond" w:cs="Times New Roman"/>
          <w:color w:val="000000"/>
          <w:sz w:val="23"/>
          <w:szCs w:val="23"/>
        </w:rPr>
        <w:t>, adottato ai sensi del comma</w:t>
      </w:r>
      <w:r w:rsidRPr="00BE649C">
        <w:rPr>
          <w:rFonts w:ascii="Garamond" w:eastAsia="Calibri" w:hAnsi="Garamond" w:cs="Times New Roman"/>
          <w:color w:val="000000"/>
          <w:sz w:val="23"/>
          <w:szCs w:val="23"/>
        </w:rPr>
        <w:t xml:space="preserve"> 6 dell’art. 6 del </w:t>
      </w:r>
      <w:r>
        <w:rPr>
          <w:rFonts w:ascii="Garamond" w:eastAsia="Calibri" w:hAnsi="Garamond" w:cs="Times New Roman"/>
          <w:color w:val="000000"/>
          <w:sz w:val="23"/>
          <w:szCs w:val="23"/>
        </w:rPr>
        <w:t>D</w:t>
      </w:r>
      <w:r w:rsidRPr="00BE649C">
        <w:rPr>
          <w:rFonts w:ascii="Garamond" w:eastAsia="Calibri" w:hAnsi="Garamond" w:cs="Times New Roman"/>
          <w:color w:val="000000"/>
          <w:sz w:val="23"/>
          <w:szCs w:val="23"/>
        </w:rPr>
        <w:t>.</w:t>
      </w:r>
      <w:r>
        <w:rPr>
          <w:rFonts w:ascii="Garamond" w:eastAsia="Calibri" w:hAnsi="Garamond" w:cs="Times New Roman"/>
          <w:color w:val="000000"/>
          <w:sz w:val="23"/>
          <w:szCs w:val="23"/>
        </w:rPr>
        <w:t>L</w:t>
      </w:r>
      <w:r w:rsidRPr="00BE649C">
        <w:rPr>
          <w:rFonts w:ascii="Garamond" w:eastAsia="Calibri" w:hAnsi="Garamond" w:cs="Times New Roman"/>
          <w:color w:val="000000"/>
          <w:sz w:val="23"/>
          <w:szCs w:val="23"/>
        </w:rPr>
        <w:t>. n. 80/2021</w:t>
      </w:r>
      <w:r>
        <w:rPr>
          <w:rFonts w:ascii="Garamond" w:eastAsia="Calibri" w:hAnsi="Garamond" w:cs="Times New Roman"/>
          <w:color w:val="000000"/>
          <w:sz w:val="23"/>
          <w:szCs w:val="23"/>
        </w:rPr>
        <w:t>,</w:t>
      </w:r>
      <w:r w:rsidRPr="00BE649C">
        <w:rPr>
          <w:rFonts w:ascii="Garamond" w:eastAsia="Calibri" w:hAnsi="Garamond" w:cs="Times New Roman"/>
          <w:color w:val="000000"/>
          <w:sz w:val="23"/>
          <w:szCs w:val="23"/>
        </w:rPr>
        <w:t xml:space="preserve"> </w:t>
      </w:r>
      <w:r>
        <w:rPr>
          <w:rFonts w:ascii="Garamond" w:eastAsia="Calibri" w:hAnsi="Garamond" w:cs="Times New Roman"/>
          <w:color w:val="000000"/>
          <w:sz w:val="23"/>
          <w:szCs w:val="23"/>
        </w:rPr>
        <w:t>l</w:t>
      </w:r>
      <w:r w:rsidR="00745E42" w:rsidRPr="00D2772B">
        <w:rPr>
          <w:rFonts w:ascii="Garamond" w:eastAsia="Calibri" w:hAnsi="Garamond" w:cs="Times New Roman"/>
          <w:color w:val="000000"/>
          <w:sz w:val="23"/>
          <w:szCs w:val="23"/>
        </w:rPr>
        <w:t xml:space="preserve">a </w:t>
      </w:r>
      <w:r w:rsidR="00E1319C">
        <w:rPr>
          <w:rFonts w:ascii="Garamond" w:eastAsia="Calibri" w:hAnsi="Garamond" w:cs="Times New Roman"/>
          <w:color w:val="000000"/>
          <w:sz w:val="23"/>
          <w:szCs w:val="23"/>
        </w:rPr>
        <w:t xml:space="preserve">presente </w:t>
      </w:r>
      <w:r w:rsidR="00943651" w:rsidRPr="00176111">
        <w:rPr>
          <w:rFonts w:ascii="Garamond" w:hAnsi="Garamond" w:cs="Times New Roman"/>
          <w:sz w:val="23"/>
          <w:szCs w:val="23"/>
        </w:rPr>
        <w:t>Sottosezione</w:t>
      </w:r>
      <w:r w:rsidRPr="00176111">
        <w:rPr>
          <w:rFonts w:ascii="Garamond" w:eastAsia="Calibri" w:hAnsi="Garamond" w:cs="Times New Roman"/>
          <w:sz w:val="23"/>
          <w:szCs w:val="23"/>
        </w:rPr>
        <w:t>, dedicata</w:t>
      </w:r>
      <w:r w:rsidR="00745E42" w:rsidRPr="00176111">
        <w:rPr>
          <w:rFonts w:ascii="Garamond" w:eastAsia="Calibri" w:hAnsi="Garamond" w:cs="Times New Roman"/>
          <w:sz w:val="23"/>
          <w:szCs w:val="23"/>
        </w:rPr>
        <w:t xml:space="preserve"> ai Rischi Corruttivi e agli adempi</w:t>
      </w:r>
      <w:r w:rsidRPr="00176111">
        <w:rPr>
          <w:rFonts w:ascii="Garamond" w:eastAsia="Calibri" w:hAnsi="Garamond" w:cs="Times New Roman"/>
          <w:sz w:val="23"/>
          <w:szCs w:val="23"/>
        </w:rPr>
        <w:t>menti in materia di Trasparenza,</w:t>
      </w:r>
      <w:r w:rsidR="00745E42" w:rsidRPr="00176111">
        <w:rPr>
          <w:rFonts w:ascii="Garamond" w:eastAsia="Calibri" w:hAnsi="Garamond" w:cs="Times New Roman"/>
          <w:sz w:val="23"/>
          <w:szCs w:val="23"/>
        </w:rPr>
        <w:t xml:space="preserve"> comprende:</w:t>
      </w:r>
    </w:p>
    <w:p w14:paraId="26E9F594" w14:textId="6EDF9F8D" w:rsidR="005E614F" w:rsidRPr="00176111" w:rsidRDefault="00D74910" w:rsidP="002045C8">
      <w:pPr>
        <w:pStyle w:val="Paragrafoelenco"/>
        <w:numPr>
          <w:ilvl w:val="0"/>
          <w:numId w:val="1"/>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176111">
        <w:rPr>
          <w:rFonts w:ascii="Garamond" w:eastAsia="Calibri" w:hAnsi="Garamond" w:cs="Times New Roman"/>
          <w:sz w:val="23"/>
          <w:szCs w:val="23"/>
        </w:rPr>
        <w:t xml:space="preserve">la </w:t>
      </w:r>
      <w:r w:rsidR="005E614F" w:rsidRPr="00176111">
        <w:rPr>
          <w:rFonts w:ascii="Garamond" w:eastAsia="Calibri" w:hAnsi="Garamond" w:cs="Times New Roman"/>
          <w:sz w:val="23"/>
          <w:szCs w:val="23"/>
        </w:rPr>
        <w:t>valutazione di impatto del contesto esterno</w:t>
      </w:r>
      <w:r w:rsidRPr="00176111">
        <w:rPr>
          <w:rFonts w:ascii="Garamond" w:eastAsia="Calibri" w:hAnsi="Garamond" w:cs="Times New Roman"/>
          <w:sz w:val="23"/>
          <w:szCs w:val="23"/>
        </w:rPr>
        <w:t>, finalizzata ad evidenziare se le caratteristiche</w:t>
      </w:r>
      <w:r w:rsidR="002045C8" w:rsidRPr="00176111">
        <w:rPr>
          <w:rFonts w:ascii="Garamond" w:eastAsia="Calibri" w:hAnsi="Garamond" w:cs="Times New Roman"/>
          <w:sz w:val="23"/>
          <w:szCs w:val="23"/>
        </w:rPr>
        <w:t xml:space="preserve"> </w:t>
      </w:r>
      <w:r w:rsidR="00943651" w:rsidRPr="00176111">
        <w:rPr>
          <w:rFonts w:ascii="Garamond" w:eastAsia="Calibri" w:hAnsi="Garamond" w:cs="Times New Roman"/>
          <w:sz w:val="23"/>
          <w:szCs w:val="23"/>
        </w:rPr>
        <w:t xml:space="preserve">strutturali </w:t>
      </w:r>
      <w:r w:rsidRPr="00176111">
        <w:rPr>
          <w:rFonts w:ascii="Garamond" w:eastAsia="Calibri" w:hAnsi="Garamond" w:cs="Times New Roman"/>
          <w:sz w:val="23"/>
          <w:szCs w:val="23"/>
        </w:rPr>
        <w:t>e</w:t>
      </w:r>
      <w:r w:rsidR="002045C8" w:rsidRPr="00176111">
        <w:rPr>
          <w:rFonts w:ascii="Garamond" w:eastAsia="Calibri" w:hAnsi="Garamond" w:cs="Times New Roman"/>
          <w:sz w:val="23"/>
          <w:szCs w:val="23"/>
        </w:rPr>
        <w:t xml:space="preserve"> congiunturali dell'ambiente </w:t>
      </w:r>
      <w:r w:rsidR="00943651" w:rsidRPr="00176111">
        <w:rPr>
          <w:rFonts w:ascii="Garamond" w:eastAsia="Calibri" w:hAnsi="Garamond" w:cs="Times New Roman"/>
          <w:sz w:val="23"/>
          <w:szCs w:val="23"/>
        </w:rPr>
        <w:t xml:space="preserve">culturale, sociale ed </w:t>
      </w:r>
      <w:r w:rsidRPr="00176111">
        <w:rPr>
          <w:rFonts w:ascii="Garamond" w:eastAsia="Calibri" w:hAnsi="Garamond" w:cs="Times New Roman"/>
          <w:sz w:val="23"/>
          <w:szCs w:val="23"/>
        </w:rPr>
        <w:t>economico nel quale l'amministrazione opera possano favorire il verificarsi di fenomeni corruttivi</w:t>
      </w:r>
      <w:r w:rsidR="005E614F" w:rsidRPr="00176111">
        <w:rPr>
          <w:rFonts w:ascii="Garamond" w:eastAsia="Calibri" w:hAnsi="Garamond" w:cs="Times New Roman"/>
          <w:sz w:val="23"/>
          <w:szCs w:val="23"/>
        </w:rPr>
        <w:t>;</w:t>
      </w:r>
    </w:p>
    <w:p w14:paraId="774F1B60" w14:textId="770609E8" w:rsidR="005E614F" w:rsidRPr="00176111" w:rsidRDefault="00D74910" w:rsidP="002045C8">
      <w:pPr>
        <w:pStyle w:val="Paragrafoelenco"/>
        <w:numPr>
          <w:ilvl w:val="0"/>
          <w:numId w:val="1"/>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176111">
        <w:rPr>
          <w:rFonts w:ascii="Garamond" w:eastAsia="Calibri" w:hAnsi="Garamond" w:cs="Times New Roman"/>
          <w:sz w:val="23"/>
          <w:szCs w:val="23"/>
        </w:rPr>
        <w:t xml:space="preserve">la </w:t>
      </w:r>
      <w:r w:rsidR="005E614F" w:rsidRPr="00176111">
        <w:rPr>
          <w:rFonts w:ascii="Garamond" w:eastAsia="Calibri" w:hAnsi="Garamond" w:cs="Times New Roman"/>
          <w:sz w:val="23"/>
          <w:szCs w:val="23"/>
        </w:rPr>
        <w:t>valutazione di impatto del contesto interno</w:t>
      </w:r>
      <w:r w:rsidRPr="00176111">
        <w:rPr>
          <w:rFonts w:ascii="Garamond" w:eastAsia="Calibri" w:hAnsi="Garamond" w:cs="Times New Roman"/>
          <w:sz w:val="23"/>
          <w:szCs w:val="23"/>
        </w:rPr>
        <w:t>, tesa a evidenziare se lo scopo dell'ente o la sua struttura organizzativa possano influenzare l'esposizione al rischio corruttivo</w:t>
      </w:r>
      <w:r w:rsidR="005E614F" w:rsidRPr="00176111">
        <w:rPr>
          <w:rFonts w:ascii="Garamond" w:eastAsia="Calibri" w:hAnsi="Garamond" w:cs="Times New Roman"/>
          <w:sz w:val="23"/>
          <w:szCs w:val="23"/>
        </w:rPr>
        <w:t>;</w:t>
      </w:r>
    </w:p>
    <w:p w14:paraId="267D343E" w14:textId="4E2E6C75" w:rsidR="005E614F" w:rsidRPr="00176111" w:rsidRDefault="00D74910" w:rsidP="002045C8">
      <w:pPr>
        <w:pStyle w:val="Paragrafoelenco"/>
        <w:numPr>
          <w:ilvl w:val="0"/>
          <w:numId w:val="1"/>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176111">
        <w:rPr>
          <w:rFonts w:ascii="Garamond" w:eastAsia="Calibri" w:hAnsi="Garamond" w:cs="Times New Roman"/>
          <w:sz w:val="23"/>
          <w:szCs w:val="23"/>
        </w:rPr>
        <w:t xml:space="preserve">la </w:t>
      </w:r>
      <w:r w:rsidR="005E614F" w:rsidRPr="00176111">
        <w:rPr>
          <w:rFonts w:ascii="Garamond" w:eastAsia="Calibri" w:hAnsi="Garamond" w:cs="Times New Roman"/>
          <w:sz w:val="23"/>
          <w:szCs w:val="23"/>
        </w:rPr>
        <w:t>mappatura dei processi</w:t>
      </w:r>
      <w:r w:rsidRPr="00176111">
        <w:rPr>
          <w:rFonts w:ascii="Garamond" w:eastAsia="Calibri" w:hAnsi="Garamond" w:cs="Times New Roman"/>
          <w:sz w:val="23"/>
          <w:szCs w:val="23"/>
        </w:rPr>
        <w:t xml:space="preserve">, </w:t>
      </w:r>
      <w:r w:rsidR="00943651" w:rsidRPr="00176111">
        <w:rPr>
          <w:rFonts w:ascii="Garamond" w:eastAsia="Calibri" w:hAnsi="Garamond" w:cs="Times New Roman"/>
          <w:sz w:val="23"/>
          <w:szCs w:val="23"/>
        </w:rPr>
        <w:t xml:space="preserve">effettuata </w:t>
      </w:r>
      <w:r w:rsidR="002045C8" w:rsidRPr="00176111">
        <w:rPr>
          <w:rFonts w:ascii="Garamond" w:eastAsia="Calibri" w:hAnsi="Garamond" w:cs="Times New Roman"/>
          <w:sz w:val="23"/>
          <w:szCs w:val="23"/>
        </w:rPr>
        <w:t xml:space="preserve">sulla base delle informazioni fornite dalle Strutture della Giunta Regionale, necessaria ad </w:t>
      </w:r>
      <w:r w:rsidRPr="00176111">
        <w:rPr>
          <w:rFonts w:ascii="Garamond" w:eastAsia="Calibri" w:hAnsi="Garamond" w:cs="Times New Roman"/>
          <w:sz w:val="23"/>
          <w:szCs w:val="23"/>
        </w:rPr>
        <w:t xml:space="preserve">individuare le criticità che, in ragione della natura e delle peculiarità </w:t>
      </w:r>
      <w:r w:rsidRPr="00176111">
        <w:rPr>
          <w:rFonts w:ascii="Garamond" w:eastAsia="Calibri" w:hAnsi="Garamond" w:cs="Times New Roman"/>
          <w:sz w:val="23"/>
          <w:szCs w:val="23"/>
        </w:rPr>
        <w:lastRenderedPageBreak/>
        <w:t>dell'attività</w:t>
      </w:r>
      <w:r w:rsidR="002045C8" w:rsidRPr="00176111">
        <w:rPr>
          <w:rFonts w:ascii="Garamond" w:eastAsia="Calibri" w:hAnsi="Garamond" w:cs="Times New Roman"/>
          <w:sz w:val="23"/>
          <w:szCs w:val="23"/>
        </w:rPr>
        <w:t>,</w:t>
      </w:r>
      <w:r w:rsidRPr="00176111">
        <w:rPr>
          <w:rFonts w:ascii="Garamond" w:eastAsia="Calibri" w:hAnsi="Garamond" w:cs="Times New Roman"/>
          <w:sz w:val="23"/>
          <w:szCs w:val="23"/>
        </w:rPr>
        <w:t xml:space="preserve"> espongono l'amministrazione a rischi corruttivi</w:t>
      </w:r>
      <w:r w:rsidR="002045C8" w:rsidRPr="00176111">
        <w:rPr>
          <w:rFonts w:ascii="Garamond" w:eastAsia="Calibri" w:hAnsi="Garamond" w:cs="Times New Roman"/>
          <w:sz w:val="23"/>
          <w:szCs w:val="23"/>
        </w:rPr>
        <w:t>,</w:t>
      </w:r>
      <w:r w:rsidRPr="00176111">
        <w:rPr>
          <w:rFonts w:ascii="Garamond" w:eastAsia="Calibri" w:hAnsi="Garamond" w:cs="Times New Roman"/>
          <w:sz w:val="23"/>
          <w:szCs w:val="23"/>
        </w:rPr>
        <w:t xml:space="preserve"> con particolare attenzione ai processi per il raggiungimento degli obiettivi di </w:t>
      </w:r>
      <w:r w:rsidRPr="00176111">
        <w:rPr>
          <w:rFonts w:ascii="Garamond" w:eastAsia="Calibri" w:hAnsi="Garamond" w:cs="Times New Roman"/>
          <w:i/>
          <w:sz w:val="23"/>
          <w:szCs w:val="23"/>
        </w:rPr>
        <w:t>performance</w:t>
      </w:r>
      <w:r w:rsidRPr="00176111">
        <w:rPr>
          <w:rFonts w:ascii="Garamond" w:eastAsia="Calibri" w:hAnsi="Garamond" w:cs="Times New Roman"/>
          <w:sz w:val="23"/>
          <w:szCs w:val="23"/>
        </w:rPr>
        <w:t xml:space="preserve"> volti a incrementare il valore pubblico</w:t>
      </w:r>
      <w:r w:rsidR="005E614F" w:rsidRPr="00176111">
        <w:rPr>
          <w:rFonts w:ascii="Garamond" w:eastAsia="Calibri" w:hAnsi="Garamond" w:cs="Times New Roman"/>
          <w:sz w:val="23"/>
          <w:szCs w:val="23"/>
        </w:rPr>
        <w:t>;</w:t>
      </w:r>
    </w:p>
    <w:p w14:paraId="18EA29FB" w14:textId="757D76AB" w:rsidR="005E614F" w:rsidRPr="00176111" w:rsidRDefault="00D74910" w:rsidP="007B1481">
      <w:pPr>
        <w:pStyle w:val="Paragrafoelenco"/>
        <w:numPr>
          <w:ilvl w:val="0"/>
          <w:numId w:val="1"/>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176111">
        <w:rPr>
          <w:rFonts w:ascii="Garamond" w:eastAsia="Calibri" w:hAnsi="Garamond" w:cs="Times New Roman"/>
          <w:sz w:val="23"/>
          <w:szCs w:val="23"/>
        </w:rPr>
        <w:t>l’</w:t>
      </w:r>
      <w:r w:rsidR="005E614F" w:rsidRPr="00176111">
        <w:rPr>
          <w:rFonts w:ascii="Garamond" w:eastAsia="Calibri" w:hAnsi="Garamond" w:cs="Times New Roman"/>
          <w:sz w:val="23"/>
          <w:szCs w:val="23"/>
        </w:rPr>
        <w:t>identificazione e valutazione dei rischi corruttivi</w:t>
      </w:r>
      <w:r w:rsidR="009809F8" w:rsidRPr="00176111">
        <w:rPr>
          <w:rFonts w:ascii="Garamond" w:eastAsia="Calibri" w:hAnsi="Garamond" w:cs="Times New Roman"/>
          <w:sz w:val="23"/>
          <w:szCs w:val="23"/>
        </w:rPr>
        <w:t xml:space="preserve"> potenziali e concreti</w:t>
      </w:r>
      <w:r w:rsidR="002045C8" w:rsidRPr="00176111">
        <w:rPr>
          <w:rFonts w:ascii="Garamond" w:eastAsia="Calibri" w:hAnsi="Garamond" w:cs="Times New Roman"/>
          <w:sz w:val="23"/>
          <w:szCs w:val="23"/>
        </w:rPr>
        <w:t>,</w:t>
      </w:r>
      <w:r w:rsidRPr="00176111">
        <w:rPr>
          <w:rFonts w:ascii="Garamond" w:eastAsia="Calibri" w:hAnsi="Garamond" w:cs="Times New Roman"/>
          <w:sz w:val="23"/>
          <w:szCs w:val="23"/>
        </w:rPr>
        <w:t xml:space="preserve"> </w:t>
      </w:r>
      <w:r w:rsidR="00943651" w:rsidRPr="00176111">
        <w:rPr>
          <w:rFonts w:ascii="Garamond" w:eastAsia="Calibri" w:hAnsi="Garamond" w:cs="Times New Roman"/>
          <w:sz w:val="23"/>
          <w:szCs w:val="23"/>
        </w:rPr>
        <w:t xml:space="preserve">effettuata </w:t>
      </w:r>
      <w:r w:rsidR="002045C8" w:rsidRPr="00176111">
        <w:rPr>
          <w:rFonts w:ascii="Garamond" w:eastAsia="Calibri" w:hAnsi="Garamond" w:cs="Times New Roman"/>
          <w:sz w:val="23"/>
          <w:szCs w:val="23"/>
        </w:rPr>
        <w:t>sulla base delle informazioni fornite dalle Strutture della Giunta Regionale</w:t>
      </w:r>
      <w:r w:rsidR="00943651" w:rsidRPr="00176111">
        <w:rPr>
          <w:rFonts w:ascii="Garamond" w:eastAsia="Calibri" w:hAnsi="Garamond" w:cs="Times New Roman"/>
          <w:sz w:val="23"/>
          <w:szCs w:val="23"/>
        </w:rPr>
        <w:t>, funzionale alla programmazione delle misure previste dalla legge n. 190 del 2012 e di quelle specifiche per contenere i rischi corruttivi individuati</w:t>
      </w:r>
      <w:r w:rsidR="005E614F" w:rsidRPr="00176111">
        <w:rPr>
          <w:rFonts w:ascii="Garamond" w:eastAsia="Calibri" w:hAnsi="Garamond" w:cs="Times New Roman"/>
          <w:sz w:val="23"/>
          <w:szCs w:val="23"/>
        </w:rPr>
        <w:t>;</w:t>
      </w:r>
    </w:p>
    <w:p w14:paraId="4D4CB151" w14:textId="2B6CA40D" w:rsidR="005E614F" w:rsidRPr="00176111" w:rsidRDefault="00D74910" w:rsidP="002045C8">
      <w:pPr>
        <w:pStyle w:val="Paragrafoelenco"/>
        <w:numPr>
          <w:ilvl w:val="0"/>
          <w:numId w:val="1"/>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176111">
        <w:rPr>
          <w:rFonts w:ascii="Garamond" w:eastAsia="Calibri" w:hAnsi="Garamond" w:cs="Times New Roman"/>
          <w:sz w:val="23"/>
          <w:szCs w:val="23"/>
        </w:rPr>
        <w:t xml:space="preserve">la </w:t>
      </w:r>
      <w:r w:rsidR="005E614F" w:rsidRPr="00176111">
        <w:rPr>
          <w:rFonts w:ascii="Garamond" w:eastAsia="Calibri" w:hAnsi="Garamond" w:cs="Times New Roman"/>
          <w:sz w:val="23"/>
          <w:szCs w:val="23"/>
        </w:rPr>
        <w:t>progettazione di misure organizzative per il trattamento del rischio</w:t>
      </w:r>
      <w:r w:rsidR="00943651" w:rsidRPr="00176111">
        <w:rPr>
          <w:rFonts w:ascii="Garamond" w:eastAsia="Calibri" w:hAnsi="Garamond" w:cs="Times New Roman"/>
          <w:sz w:val="23"/>
          <w:szCs w:val="23"/>
        </w:rPr>
        <w:t>,</w:t>
      </w:r>
      <w:r w:rsidRPr="00176111">
        <w:rPr>
          <w:rFonts w:ascii="Garamond" w:eastAsia="Calibri" w:hAnsi="Garamond" w:cs="Times New Roman"/>
          <w:sz w:val="23"/>
          <w:szCs w:val="23"/>
        </w:rPr>
        <w:t xml:space="preserve"> privilegiando l'adozione</w:t>
      </w:r>
      <w:r w:rsidR="00112BC0" w:rsidRPr="00176111">
        <w:rPr>
          <w:rFonts w:ascii="Garamond" w:eastAsia="Calibri" w:hAnsi="Garamond" w:cs="Times New Roman"/>
          <w:sz w:val="23"/>
          <w:szCs w:val="23"/>
        </w:rPr>
        <w:t>, ove possibile,</w:t>
      </w:r>
      <w:r w:rsidRPr="00176111">
        <w:rPr>
          <w:rFonts w:ascii="Garamond" w:eastAsia="Calibri" w:hAnsi="Garamond" w:cs="Times New Roman"/>
          <w:sz w:val="23"/>
          <w:szCs w:val="23"/>
        </w:rPr>
        <w:t xml:space="preserve"> di misure di semplificazione, efficacia, efficienza ed economicità dell'azione amministrativa</w:t>
      </w:r>
      <w:r w:rsidR="005E614F" w:rsidRPr="00176111">
        <w:rPr>
          <w:rFonts w:ascii="Garamond" w:eastAsia="Calibri" w:hAnsi="Garamond" w:cs="Times New Roman"/>
          <w:sz w:val="23"/>
          <w:szCs w:val="23"/>
        </w:rPr>
        <w:t>;</w:t>
      </w:r>
      <w:r w:rsidR="007B589B" w:rsidRPr="00176111">
        <w:rPr>
          <w:rFonts w:ascii="Garamond" w:eastAsia="Calibri" w:hAnsi="Garamond" w:cs="Times New Roman"/>
          <w:sz w:val="23"/>
          <w:szCs w:val="23"/>
        </w:rPr>
        <w:t xml:space="preserve"> </w:t>
      </w:r>
    </w:p>
    <w:p w14:paraId="1D6B20BE" w14:textId="77777777" w:rsidR="00176111" w:rsidRDefault="007B589B" w:rsidP="00176111">
      <w:pPr>
        <w:pStyle w:val="Paragrafoelenco"/>
        <w:numPr>
          <w:ilvl w:val="0"/>
          <w:numId w:val="1"/>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176111">
        <w:rPr>
          <w:rFonts w:ascii="Garamond" w:eastAsia="Calibri" w:hAnsi="Garamond" w:cs="Times New Roman"/>
          <w:sz w:val="23"/>
          <w:szCs w:val="23"/>
        </w:rPr>
        <w:t xml:space="preserve">il </w:t>
      </w:r>
      <w:r w:rsidR="005E614F" w:rsidRPr="00176111">
        <w:rPr>
          <w:rFonts w:ascii="Garamond" w:eastAsia="Calibri" w:hAnsi="Garamond" w:cs="Times New Roman"/>
          <w:sz w:val="23"/>
          <w:szCs w:val="23"/>
        </w:rPr>
        <w:t>monitoraggio sull'idoneità e sull'attuazione delle misure;</w:t>
      </w:r>
    </w:p>
    <w:p w14:paraId="6EB0902A" w14:textId="1A071987" w:rsidR="007B589B" w:rsidRPr="00176111" w:rsidRDefault="007B589B" w:rsidP="00176111">
      <w:pPr>
        <w:pStyle w:val="Paragrafoelenco"/>
        <w:numPr>
          <w:ilvl w:val="0"/>
          <w:numId w:val="1"/>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176111">
        <w:rPr>
          <w:rFonts w:ascii="Garamond" w:eastAsia="Calibri" w:hAnsi="Garamond" w:cs="Times New Roman"/>
          <w:sz w:val="23"/>
          <w:szCs w:val="23"/>
        </w:rPr>
        <w:t xml:space="preserve">la </w:t>
      </w:r>
      <w:r w:rsidR="005E614F" w:rsidRPr="00176111">
        <w:rPr>
          <w:rFonts w:ascii="Garamond" w:eastAsia="Calibri" w:hAnsi="Garamond" w:cs="Times New Roman"/>
          <w:sz w:val="23"/>
          <w:szCs w:val="23"/>
        </w:rPr>
        <w:t>programmazione dell'attuazione della trasparenza</w:t>
      </w:r>
      <w:r w:rsidRPr="00176111">
        <w:rPr>
          <w:rFonts w:ascii="Garamond" w:eastAsia="Calibri" w:hAnsi="Garamond" w:cs="Times New Roman"/>
          <w:sz w:val="23"/>
          <w:szCs w:val="23"/>
        </w:rPr>
        <w:t xml:space="preserve"> e il monitoraggio delle misure organizzative per garantire l'accesso civico semplice e generalizzato, ai sensi del d.lgs. n. 33 del 201</w:t>
      </w:r>
      <w:r w:rsidRPr="00211370">
        <w:rPr>
          <w:rFonts w:ascii="Garamond" w:eastAsia="Calibri" w:hAnsi="Garamond" w:cs="Times New Roman"/>
          <w:sz w:val="23"/>
          <w:szCs w:val="23"/>
        </w:rPr>
        <w:t>3</w:t>
      </w:r>
      <w:r w:rsidR="00873195" w:rsidRPr="00211370">
        <w:rPr>
          <w:rFonts w:ascii="Garamond" w:eastAsia="Calibri" w:hAnsi="Garamond" w:cs="Times New Roman"/>
          <w:sz w:val="23"/>
          <w:szCs w:val="23"/>
        </w:rPr>
        <w:t>.</w:t>
      </w:r>
    </w:p>
    <w:p w14:paraId="0DD6AA53" w14:textId="77777777" w:rsidR="00353417" w:rsidRPr="006E0A2B" w:rsidRDefault="00353417" w:rsidP="00582EFE">
      <w:pPr>
        <w:spacing w:after="0" w:line="276" w:lineRule="auto"/>
        <w:ind w:right="-1"/>
        <w:jc w:val="both"/>
        <w:rPr>
          <w:rFonts w:ascii="Garamond" w:hAnsi="Garamond" w:cs="Times New Roman"/>
          <w:sz w:val="23"/>
          <w:szCs w:val="23"/>
        </w:rPr>
      </w:pPr>
    </w:p>
    <w:p w14:paraId="1441D943" w14:textId="7CA2FB65" w:rsidR="0055112F" w:rsidRPr="00560F0A" w:rsidRDefault="00213816" w:rsidP="00582EFE">
      <w:pPr>
        <w:spacing w:after="0" w:line="276" w:lineRule="auto"/>
        <w:ind w:right="-1"/>
        <w:jc w:val="both"/>
        <w:rPr>
          <w:rFonts w:ascii="Garamond" w:eastAsia="Calibri" w:hAnsi="Garamond" w:cs="Times New Roman"/>
          <w:b/>
          <w:i/>
          <w:iCs/>
          <w:smallCaps/>
          <w:sz w:val="23"/>
          <w:szCs w:val="23"/>
        </w:rPr>
      </w:pPr>
      <w:bookmarkStart w:id="5" w:name="_Toc43329157"/>
      <w:r w:rsidRPr="00560F0A">
        <w:rPr>
          <w:rFonts w:ascii="Garamond" w:eastAsia="Calibri" w:hAnsi="Garamond" w:cs="Times New Roman"/>
          <w:b/>
          <w:i/>
          <w:iCs/>
          <w:smallCaps/>
          <w:sz w:val="23"/>
          <w:szCs w:val="23"/>
        </w:rPr>
        <w:t>Q</w:t>
      </w:r>
      <w:r w:rsidR="00B06973" w:rsidRPr="00560F0A">
        <w:rPr>
          <w:rFonts w:ascii="Garamond" w:eastAsia="Calibri" w:hAnsi="Garamond" w:cs="Times New Roman"/>
          <w:b/>
          <w:i/>
          <w:iCs/>
          <w:smallCaps/>
          <w:sz w:val="23"/>
          <w:szCs w:val="23"/>
        </w:rPr>
        <w:t>uadro di riferimento normativo</w:t>
      </w:r>
      <w:bookmarkStart w:id="6" w:name="_Hlk41555259"/>
      <w:bookmarkEnd w:id="5"/>
      <w:r w:rsidR="00916B79" w:rsidRPr="00560F0A">
        <w:rPr>
          <w:rFonts w:ascii="Garamond" w:eastAsia="Calibri" w:hAnsi="Garamond" w:cs="Times New Roman"/>
          <w:b/>
          <w:i/>
          <w:iCs/>
          <w:smallCaps/>
          <w:sz w:val="23"/>
          <w:szCs w:val="23"/>
        </w:rPr>
        <w:fldChar w:fldCharType="begin"/>
      </w:r>
      <w:r w:rsidR="00AA3E7F" w:rsidRPr="00560F0A">
        <w:rPr>
          <w:rFonts w:ascii="Garamond" w:hAnsi="Garamond" w:cs="Times New Roman"/>
          <w:b/>
          <w:smallCaps/>
          <w:sz w:val="23"/>
          <w:szCs w:val="23"/>
        </w:rPr>
        <w:instrText xml:space="preserve"> XE "</w:instrText>
      </w:r>
      <w:r w:rsidR="00AA3E7F" w:rsidRPr="00560F0A">
        <w:rPr>
          <w:rFonts w:ascii="Garamond" w:eastAsia="Calibri" w:hAnsi="Garamond" w:cs="Times New Roman"/>
          <w:b/>
          <w:i/>
          <w:iCs/>
          <w:smallCaps/>
          <w:sz w:val="23"/>
          <w:szCs w:val="23"/>
        </w:rPr>
        <w:instrText>QUADRO DI RIFERIMENTO NORMATIVO</w:instrText>
      </w:r>
      <w:r w:rsidR="00AA3E7F" w:rsidRPr="00560F0A">
        <w:rPr>
          <w:rFonts w:ascii="Garamond" w:hAnsi="Garamond" w:cs="Times New Roman"/>
          <w:b/>
          <w:smallCaps/>
          <w:sz w:val="23"/>
          <w:szCs w:val="23"/>
        </w:rPr>
        <w:instrText xml:space="preserve">" \b </w:instrText>
      </w:r>
      <w:r w:rsidR="00916B79" w:rsidRPr="00560F0A">
        <w:rPr>
          <w:rFonts w:ascii="Garamond" w:eastAsia="Calibri" w:hAnsi="Garamond" w:cs="Times New Roman"/>
          <w:b/>
          <w:i/>
          <w:iCs/>
          <w:smallCaps/>
          <w:sz w:val="23"/>
          <w:szCs w:val="23"/>
        </w:rPr>
        <w:fldChar w:fldCharType="end"/>
      </w:r>
    </w:p>
    <w:p w14:paraId="3D388AB9" w14:textId="254332D0" w:rsidR="00790543" w:rsidRPr="00D86DC5" w:rsidRDefault="001D2563" w:rsidP="00582EFE">
      <w:pPr>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L</w:t>
      </w:r>
      <w:r w:rsidR="006A5F1E" w:rsidRPr="00D86DC5">
        <w:rPr>
          <w:rFonts w:ascii="Garamond" w:hAnsi="Garamond" w:cs="Times New Roman"/>
          <w:sz w:val="23"/>
          <w:szCs w:val="23"/>
        </w:rPr>
        <w:t>a legge 6 novembre 2012, n.</w:t>
      </w:r>
      <w:r w:rsidR="005E614F">
        <w:rPr>
          <w:rFonts w:ascii="Garamond" w:hAnsi="Garamond" w:cs="Times New Roman"/>
          <w:sz w:val="23"/>
          <w:szCs w:val="23"/>
        </w:rPr>
        <w:t xml:space="preserve"> </w:t>
      </w:r>
      <w:r w:rsidR="006A5F1E" w:rsidRPr="00D86DC5">
        <w:rPr>
          <w:rFonts w:ascii="Garamond" w:hAnsi="Garamond" w:cs="Times New Roman"/>
          <w:sz w:val="23"/>
          <w:szCs w:val="23"/>
        </w:rPr>
        <w:t xml:space="preserve">190 </w:t>
      </w:r>
      <w:r w:rsidR="0036779A" w:rsidRPr="00D86DC5">
        <w:rPr>
          <w:rFonts w:ascii="Garamond" w:hAnsi="Garamond" w:cs="Times New Roman"/>
          <w:sz w:val="23"/>
          <w:szCs w:val="23"/>
        </w:rPr>
        <w:t xml:space="preserve">recante: </w:t>
      </w:r>
      <w:r w:rsidR="006A5F1E" w:rsidRPr="00D86DC5">
        <w:rPr>
          <w:rFonts w:ascii="Garamond" w:hAnsi="Garamond" w:cs="Times New Roman"/>
          <w:i/>
          <w:iCs/>
          <w:sz w:val="23"/>
          <w:szCs w:val="23"/>
        </w:rPr>
        <w:t>“Disposizioni per la prevenzione e la repressione della corruzione e dell'illegalità nella pubblica amministrazione”</w:t>
      </w:r>
      <w:r w:rsidR="002A6BE2" w:rsidRPr="00D86DC5">
        <w:rPr>
          <w:rFonts w:ascii="Garamond" w:hAnsi="Garamond" w:cs="Times New Roman"/>
          <w:i/>
          <w:iCs/>
          <w:sz w:val="23"/>
          <w:szCs w:val="23"/>
        </w:rPr>
        <w:t xml:space="preserve"> </w:t>
      </w:r>
      <w:r w:rsidR="002A6BE2" w:rsidRPr="00D86DC5">
        <w:rPr>
          <w:rFonts w:ascii="Garamond" w:hAnsi="Garamond" w:cs="Times New Roman"/>
          <w:sz w:val="23"/>
          <w:szCs w:val="23"/>
        </w:rPr>
        <w:t>ha</w:t>
      </w:r>
      <w:r w:rsidR="002A6BE2" w:rsidRPr="00D86DC5">
        <w:rPr>
          <w:rFonts w:ascii="Garamond" w:hAnsi="Garamond" w:cs="Times New Roman"/>
          <w:i/>
          <w:iCs/>
          <w:sz w:val="23"/>
          <w:szCs w:val="23"/>
        </w:rPr>
        <w:t xml:space="preserve"> </w:t>
      </w:r>
      <w:r w:rsidRPr="00D86DC5">
        <w:rPr>
          <w:rFonts w:ascii="Garamond" w:hAnsi="Garamond" w:cs="Times New Roman"/>
          <w:sz w:val="23"/>
          <w:szCs w:val="23"/>
        </w:rPr>
        <w:t>introdotto nell’ordinamento italiano un sistema organico di disposizioni per la prevenzione de</w:t>
      </w:r>
      <w:r w:rsidR="003A5F38" w:rsidRPr="00D86DC5">
        <w:rPr>
          <w:rFonts w:ascii="Garamond" w:hAnsi="Garamond" w:cs="Times New Roman"/>
          <w:sz w:val="23"/>
          <w:szCs w:val="23"/>
        </w:rPr>
        <w:t xml:space="preserve">i fenomeni </w:t>
      </w:r>
      <w:r w:rsidRPr="00D86DC5">
        <w:rPr>
          <w:rFonts w:ascii="Garamond" w:hAnsi="Garamond" w:cs="Times New Roman"/>
          <w:sz w:val="23"/>
          <w:szCs w:val="23"/>
        </w:rPr>
        <w:t>corruttiv</w:t>
      </w:r>
      <w:r w:rsidR="003A5F38" w:rsidRPr="00D86DC5">
        <w:rPr>
          <w:rFonts w:ascii="Garamond" w:hAnsi="Garamond" w:cs="Times New Roman"/>
          <w:sz w:val="23"/>
          <w:szCs w:val="23"/>
        </w:rPr>
        <w:t>i</w:t>
      </w:r>
      <w:r w:rsidR="006F0DC7" w:rsidRPr="00D86DC5">
        <w:rPr>
          <w:rFonts w:ascii="Garamond" w:hAnsi="Garamond" w:cs="Times New Roman"/>
          <w:sz w:val="23"/>
          <w:szCs w:val="23"/>
        </w:rPr>
        <w:t xml:space="preserve"> in precisi ambiti organizzativo</w:t>
      </w:r>
      <w:r w:rsidR="000B16AA" w:rsidRPr="00582212">
        <w:rPr>
          <w:rFonts w:ascii="Garamond" w:hAnsi="Garamond" w:cs="Times New Roman"/>
          <w:sz w:val="23"/>
          <w:szCs w:val="23"/>
        </w:rPr>
        <w:t>-</w:t>
      </w:r>
      <w:r w:rsidR="006F0DC7" w:rsidRPr="00D86DC5">
        <w:rPr>
          <w:rFonts w:ascii="Garamond" w:hAnsi="Garamond" w:cs="Times New Roman"/>
          <w:sz w:val="23"/>
          <w:szCs w:val="23"/>
        </w:rPr>
        <w:t>gestionali</w:t>
      </w:r>
      <w:r w:rsidRPr="00D86DC5">
        <w:rPr>
          <w:rFonts w:ascii="Garamond" w:hAnsi="Garamond" w:cs="Times New Roman"/>
          <w:sz w:val="23"/>
          <w:szCs w:val="23"/>
        </w:rPr>
        <w:t xml:space="preserve"> e costituisce attuazione della Convenzione dell'Organizzazione delle Nazioni Unite contro la corruzione (adottata dall’Assemblea generale dell'ONU il 31 ottobre 2003 e ratificata con legge 3 agosto 2009, n. 116), nonché della Convenzione penale sulla corruzione (data a Strasburgo il 27 gennaio 1999 e ratificata con legge 28 giugno 2012, n.</w:t>
      </w:r>
      <w:r w:rsidR="009809F8">
        <w:rPr>
          <w:rFonts w:ascii="Garamond" w:hAnsi="Garamond" w:cs="Times New Roman"/>
          <w:sz w:val="23"/>
          <w:szCs w:val="23"/>
        </w:rPr>
        <w:t xml:space="preserve"> </w:t>
      </w:r>
      <w:r w:rsidRPr="00D86DC5">
        <w:rPr>
          <w:rFonts w:ascii="Garamond" w:hAnsi="Garamond" w:cs="Times New Roman"/>
          <w:sz w:val="23"/>
          <w:szCs w:val="23"/>
        </w:rPr>
        <w:t xml:space="preserve">110). </w:t>
      </w:r>
    </w:p>
    <w:p w14:paraId="3D2EBB91" w14:textId="2D5E6051" w:rsidR="001D2563" w:rsidRPr="00BB0D90" w:rsidRDefault="001D2563" w:rsidP="00582EFE">
      <w:pPr>
        <w:autoSpaceDE w:val="0"/>
        <w:autoSpaceDN w:val="0"/>
        <w:adjustRightInd w:val="0"/>
        <w:spacing w:after="0" w:line="276" w:lineRule="auto"/>
        <w:ind w:right="-1"/>
        <w:jc w:val="both"/>
        <w:rPr>
          <w:rFonts w:ascii="Garamond" w:hAnsi="Garamond" w:cs="Times New Roman"/>
          <w:color w:val="FF0000"/>
          <w:sz w:val="23"/>
          <w:szCs w:val="23"/>
        </w:rPr>
      </w:pPr>
      <w:r w:rsidRPr="00433407">
        <w:rPr>
          <w:rFonts w:ascii="Garamond" w:hAnsi="Garamond" w:cs="Times New Roman"/>
          <w:sz w:val="23"/>
          <w:szCs w:val="23"/>
        </w:rPr>
        <w:t xml:space="preserve">In attuazione </w:t>
      </w:r>
      <w:r w:rsidR="004E0275" w:rsidRPr="00433407">
        <w:rPr>
          <w:rFonts w:ascii="Garamond" w:hAnsi="Garamond" w:cs="Times New Roman"/>
          <w:sz w:val="23"/>
          <w:szCs w:val="23"/>
        </w:rPr>
        <w:t xml:space="preserve">e in coerenza con </w:t>
      </w:r>
      <w:r w:rsidRPr="00433407">
        <w:rPr>
          <w:rFonts w:ascii="Garamond" w:hAnsi="Garamond" w:cs="Times New Roman"/>
          <w:sz w:val="23"/>
          <w:szCs w:val="23"/>
        </w:rPr>
        <w:t>le disposizioni in es</w:t>
      </w:r>
      <w:r w:rsidR="00790543" w:rsidRPr="00433407">
        <w:rPr>
          <w:rFonts w:ascii="Garamond" w:hAnsi="Garamond" w:cs="Times New Roman"/>
          <w:sz w:val="23"/>
          <w:szCs w:val="23"/>
        </w:rPr>
        <w:t>sa contenute, sono stat</w:t>
      </w:r>
      <w:r w:rsidR="000B16AA" w:rsidRPr="00433407">
        <w:rPr>
          <w:rFonts w:ascii="Garamond" w:hAnsi="Garamond" w:cs="Times New Roman"/>
          <w:sz w:val="23"/>
          <w:szCs w:val="23"/>
        </w:rPr>
        <w:t>i</w:t>
      </w:r>
      <w:r w:rsidR="00790543" w:rsidRPr="00433407">
        <w:rPr>
          <w:rFonts w:ascii="Garamond" w:hAnsi="Garamond" w:cs="Times New Roman"/>
          <w:sz w:val="23"/>
          <w:szCs w:val="23"/>
        </w:rPr>
        <w:t xml:space="preserve"> emanati atti</w:t>
      </w:r>
      <w:r w:rsidR="00BB0D90" w:rsidRPr="00433407">
        <w:rPr>
          <w:rFonts w:ascii="Garamond" w:hAnsi="Garamond" w:cs="Times New Roman"/>
          <w:sz w:val="23"/>
          <w:szCs w:val="23"/>
        </w:rPr>
        <w:t>,</w:t>
      </w:r>
      <w:r w:rsidR="00790543" w:rsidRPr="00433407">
        <w:rPr>
          <w:rFonts w:ascii="Garamond" w:hAnsi="Garamond" w:cs="Times New Roman"/>
          <w:sz w:val="23"/>
          <w:szCs w:val="23"/>
        </w:rPr>
        <w:t xml:space="preserve"> </w:t>
      </w:r>
      <w:r w:rsidRPr="00433407">
        <w:rPr>
          <w:rFonts w:ascii="Garamond" w:hAnsi="Garamond" w:cs="Times New Roman"/>
          <w:sz w:val="23"/>
          <w:szCs w:val="23"/>
        </w:rPr>
        <w:t>norm</w:t>
      </w:r>
      <w:r w:rsidR="00790543" w:rsidRPr="00433407">
        <w:rPr>
          <w:rFonts w:ascii="Garamond" w:hAnsi="Garamond" w:cs="Times New Roman"/>
          <w:sz w:val="23"/>
          <w:szCs w:val="23"/>
        </w:rPr>
        <w:t>ativi e non</w:t>
      </w:r>
      <w:r w:rsidR="00BB0D90" w:rsidRPr="00433407">
        <w:rPr>
          <w:rFonts w:ascii="Garamond" w:hAnsi="Garamond" w:cs="Times New Roman"/>
          <w:sz w:val="23"/>
          <w:szCs w:val="23"/>
        </w:rPr>
        <w:t>, che hanno inciso sull’operatività dell’Amministrazione Regionale e sulle misure di trasparenza e anticorruzione previste nella presente sezione del PIAO</w:t>
      </w:r>
      <w:r w:rsidR="005014DA" w:rsidRPr="00433407">
        <w:rPr>
          <w:rFonts w:ascii="Garamond" w:hAnsi="Garamond" w:cs="Times New Roman"/>
          <w:sz w:val="23"/>
          <w:szCs w:val="23"/>
        </w:rPr>
        <w:t>:</w:t>
      </w:r>
    </w:p>
    <w:p w14:paraId="44DE73C8" w14:textId="366BE1E4" w:rsidR="007455EF" w:rsidRPr="00211370" w:rsidRDefault="007455EF" w:rsidP="00724C70">
      <w:pPr>
        <w:pStyle w:val="Paragrafoelenco"/>
        <w:numPr>
          <w:ilvl w:val="0"/>
          <w:numId w:val="3"/>
        </w:numPr>
        <w:autoSpaceDE w:val="0"/>
        <w:autoSpaceDN w:val="0"/>
        <w:adjustRightInd w:val="0"/>
        <w:spacing w:after="0" w:line="276" w:lineRule="auto"/>
        <w:ind w:right="-1"/>
        <w:contextualSpacing w:val="0"/>
        <w:jc w:val="both"/>
        <w:rPr>
          <w:rFonts w:ascii="Garamond" w:hAnsi="Garamond" w:cs="Times New Roman"/>
          <w:sz w:val="23"/>
          <w:szCs w:val="23"/>
        </w:rPr>
      </w:pPr>
      <w:proofErr w:type="spellStart"/>
      <w:r w:rsidRPr="00B220E2">
        <w:rPr>
          <w:rFonts w:ascii="Garamond" w:hAnsi="Garamond" w:cs="Times New Roman"/>
          <w:sz w:val="23"/>
          <w:szCs w:val="23"/>
        </w:rPr>
        <w:t>D.Lgs.</w:t>
      </w:r>
      <w:proofErr w:type="spellEnd"/>
      <w:r w:rsidRPr="00B220E2">
        <w:rPr>
          <w:rFonts w:ascii="Garamond" w:hAnsi="Garamond" w:cs="Times New Roman"/>
          <w:sz w:val="23"/>
          <w:szCs w:val="23"/>
        </w:rPr>
        <w:t xml:space="preserve"> 30 marzo 2001 n. 165 recante: “Norme generali sull'ordinamento del lavoro alle dipendenze delle amministrazioni pubbliche</w:t>
      </w:r>
      <w:r w:rsidR="00790543" w:rsidRPr="00211370">
        <w:rPr>
          <w:rFonts w:ascii="Garamond" w:hAnsi="Garamond" w:cs="Times New Roman"/>
          <w:sz w:val="23"/>
          <w:szCs w:val="23"/>
        </w:rPr>
        <w:t>”</w:t>
      </w:r>
      <w:r w:rsidR="00307D5D" w:rsidRPr="00211370">
        <w:rPr>
          <w:rFonts w:ascii="Garamond" w:hAnsi="Garamond" w:cs="Times New Roman"/>
          <w:sz w:val="23"/>
          <w:szCs w:val="23"/>
        </w:rPr>
        <w:t xml:space="preserve"> e </w:t>
      </w:r>
      <w:proofErr w:type="spellStart"/>
      <w:r w:rsidR="00307D5D" w:rsidRPr="00211370">
        <w:rPr>
          <w:rFonts w:ascii="Garamond" w:hAnsi="Garamond" w:cs="Times New Roman"/>
          <w:sz w:val="23"/>
          <w:szCs w:val="23"/>
        </w:rPr>
        <w:t>ss.mm.ii</w:t>
      </w:r>
      <w:proofErr w:type="spellEnd"/>
      <w:r w:rsidR="00307D5D" w:rsidRPr="00211370">
        <w:rPr>
          <w:rFonts w:ascii="Garamond" w:hAnsi="Garamond" w:cs="Times New Roman"/>
          <w:sz w:val="23"/>
          <w:szCs w:val="23"/>
        </w:rPr>
        <w:t>.</w:t>
      </w:r>
      <w:r w:rsidR="00790543" w:rsidRPr="00211370">
        <w:rPr>
          <w:rFonts w:ascii="Garamond" w:hAnsi="Garamond" w:cs="Times New Roman"/>
          <w:sz w:val="23"/>
          <w:szCs w:val="23"/>
        </w:rPr>
        <w:t>;</w:t>
      </w:r>
    </w:p>
    <w:p w14:paraId="6D5B6679" w14:textId="089921DF" w:rsidR="00870A5C" w:rsidRPr="00211370" w:rsidRDefault="002A6BE2" w:rsidP="00724C70">
      <w:pPr>
        <w:pStyle w:val="Paragrafoelenco"/>
        <w:numPr>
          <w:ilvl w:val="0"/>
          <w:numId w:val="3"/>
        </w:numPr>
        <w:autoSpaceDE w:val="0"/>
        <w:autoSpaceDN w:val="0"/>
        <w:adjustRightInd w:val="0"/>
        <w:spacing w:after="0" w:line="276" w:lineRule="auto"/>
        <w:ind w:right="-1"/>
        <w:contextualSpacing w:val="0"/>
        <w:jc w:val="both"/>
        <w:rPr>
          <w:rFonts w:ascii="Garamond" w:hAnsi="Garamond" w:cs="Times New Roman"/>
          <w:sz w:val="23"/>
          <w:szCs w:val="23"/>
        </w:rPr>
      </w:pPr>
      <w:proofErr w:type="spellStart"/>
      <w:r w:rsidRPr="00211370">
        <w:rPr>
          <w:rFonts w:ascii="Garamond" w:hAnsi="Garamond" w:cs="Times New Roman"/>
          <w:sz w:val="23"/>
          <w:szCs w:val="23"/>
        </w:rPr>
        <w:t>D.Lgs.</w:t>
      </w:r>
      <w:proofErr w:type="spellEnd"/>
      <w:r w:rsidRPr="00211370">
        <w:rPr>
          <w:rFonts w:ascii="Garamond" w:hAnsi="Garamond" w:cs="Times New Roman"/>
          <w:sz w:val="23"/>
          <w:szCs w:val="23"/>
        </w:rPr>
        <w:t xml:space="preserve"> 14 marzo 2013, n. 33 “Riordino della disciplina riguardante gli obblighi di pubblicità, trasparenza e diffusione di informazioni da parte delle pubbliche amministrazioni, approvato dal Governo il 15 febbraio 2013, in attuazione di commi 35 e 36 dell’art. 1 della l. n.</w:t>
      </w:r>
      <w:r w:rsidR="009809F8" w:rsidRPr="00211370">
        <w:rPr>
          <w:rFonts w:ascii="Garamond" w:hAnsi="Garamond" w:cs="Times New Roman"/>
          <w:sz w:val="23"/>
          <w:szCs w:val="23"/>
        </w:rPr>
        <w:t xml:space="preserve"> </w:t>
      </w:r>
      <w:r w:rsidRPr="00211370">
        <w:rPr>
          <w:rFonts w:ascii="Garamond" w:hAnsi="Garamond" w:cs="Times New Roman"/>
          <w:sz w:val="23"/>
          <w:szCs w:val="23"/>
        </w:rPr>
        <w:t>190 del 2012”</w:t>
      </w:r>
      <w:r w:rsidR="00664F08" w:rsidRPr="00211370">
        <w:rPr>
          <w:rFonts w:ascii="Garamond" w:hAnsi="Garamond" w:cs="Times New Roman"/>
          <w:sz w:val="23"/>
          <w:szCs w:val="23"/>
        </w:rPr>
        <w:t xml:space="preserve"> e </w:t>
      </w:r>
      <w:proofErr w:type="spellStart"/>
      <w:r w:rsidR="00664F08" w:rsidRPr="00211370">
        <w:rPr>
          <w:rFonts w:ascii="Garamond" w:hAnsi="Garamond" w:cs="Times New Roman"/>
          <w:sz w:val="23"/>
          <w:szCs w:val="23"/>
        </w:rPr>
        <w:t>ss.mm.ii</w:t>
      </w:r>
      <w:proofErr w:type="spellEnd"/>
      <w:r w:rsidR="00664F08" w:rsidRPr="00211370">
        <w:rPr>
          <w:rFonts w:ascii="Garamond" w:hAnsi="Garamond" w:cs="Times New Roman"/>
          <w:sz w:val="23"/>
          <w:szCs w:val="23"/>
        </w:rPr>
        <w:t>.</w:t>
      </w:r>
      <w:r w:rsidR="00790543" w:rsidRPr="00211370">
        <w:rPr>
          <w:rFonts w:ascii="Garamond" w:hAnsi="Garamond" w:cs="Times New Roman"/>
          <w:sz w:val="23"/>
          <w:szCs w:val="23"/>
        </w:rPr>
        <w:t>;</w:t>
      </w:r>
    </w:p>
    <w:p w14:paraId="66772298" w14:textId="3B292CC0" w:rsidR="00870A5C" w:rsidRPr="00211370" w:rsidRDefault="002A6BE2" w:rsidP="00724C70">
      <w:pPr>
        <w:pStyle w:val="Paragrafoelenco"/>
        <w:numPr>
          <w:ilvl w:val="0"/>
          <w:numId w:val="3"/>
        </w:numPr>
        <w:autoSpaceDE w:val="0"/>
        <w:autoSpaceDN w:val="0"/>
        <w:adjustRightInd w:val="0"/>
        <w:spacing w:after="0" w:line="276" w:lineRule="auto"/>
        <w:ind w:right="-1"/>
        <w:contextualSpacing w:val="0"/>
        <w:jc w:val="both"/>
        <w:rPr>
          <w:rFonts w:ascii="Garamond" w:hAnsi="Garamond" w:cs="Times New Roman"/>
          <w:sz w:val="23"/>
          <w:szCs w:val="23"/>
        </w:rPr>
      </w:pPr>
      <w:proofErr w:type="spellStart"/>
      <w:r w:rsidRPr="00211370">
        <w:rPr>
          <w:rFonts w:ascii="Garamond" w:hAnsi="Garamond" w:cs="Times New Roman"/>
          <w:sz w:val="23"/>
          <w:szCs w:val="23"/>
        </w:rPr>
        <w:t>D.Lgs.</w:t>
      </w:r>
      <w:proofErr w:type="spellEnd"/>
      <w:r w:rsidRPr="00211370">
        <w:rPr>
          <w:rFonts w:ascii="Garamond" w:hAnsi="Garamond" w:cs="Times New Roman"/>
          <w:sz w:val="23"/>
          <w:szCs w:val="23"/>
        </w:rPr>
        <w:t xml:space="preserve"> 8 aprile 2013, n. 39 “Disposizioni in materia di </w:t>
      </w:r>
      <w:proofErr w:type="spellStart"/>
      <w:r w:rsidRPr="00211370">
        <w:rPr>
          <w:rFonts w:ascii="Garamond" w:hAnsi="Garamond" w:cs="Times New Roman"/>
          <w:sz w:val="23"/>
          <w:szCs w:val="23"/>
        </w:rPr>
        <w:t>inconferibilità</w:t>
      </w:r>
      <w:proofErr w:type="spellEnd"/>
      <w:r w:rsidRPr="00211370">
        <w:rPr>
          <w:rFonts w:ascii="Garamond" w:hAnsi="Garamond" w:cs="Times New Roman"/>
          <w:sz w:val="23"/>
          <w:szCs w:val="23"/>
        </w:rPr>
        <w:t xml:space="preserve"> e incompatibilità di incarichi presso le pubbliche amministrazioni e presso gli enti privati in controllo pubblico, a norma dell'articolo 1, commi 49 e 50, della legge 6 novembre 2012, n.190”</w:t>
      </w:r>
      <w:r w:rsidR="00211370">
        <w:rPr>
          <w:rFonts w:ascii="Garamond" w:hAnsi="Garamond" w:cs="Times New Roman"/>
          <w:sz w:val="23"/>
          <w:szCs w:val="23"/>
        </w:rPr>
        <w:t xml:space="preserve"> e </w:t>
      </w:r>
      <w:proofErr w:type="spellStart"/>
      <w:r w:rsidR="00664F08" w:rsidRPr="00211370">
        <w:rPr>
          <w:rFonts w:ascii="Garamond" w:hAnsi="Garamond" w:cs="Times New Roman"/>
          <w:sz w:val="23"/>
          <w:szCs w:val="23"/>
        </w:rPr>
        <w:t>ss.mm.ii</w:t>
      </w:r>
      <w:proofErr w:type="spellEnd"/>
      <w:r w:rsidR="00664F08" w:rsidRPr="00211370">
        <w:rPr>
          <w:rFonts w:ascii="Garamond" w:hAnsi="Garamond" w:cs="Times New Roman"/>
          <w:sz w:val="23"/>
          <w:szCs w:val="23"/>
        </w:rPr>
        <w:t>.</w:t>
      </w:r>
      <w:r w:rsidRPr="00211370">
        <w:rPr>
          <w:rFonts w:ascii="Garamond" w:hAnsi="Garamond" w:cs="Times New Roman"/>
          <w:sz w:val="23"/>
          <w:szCs w:val="23"/>
        </w:rPr>
        <w:t>;</w:t>
      </w:r>
    </w:p>
    <w:p w14:paraId="03771E21" w14:textId="609D78B2" w:rsidR="00870A5C" w:rsidRPr="00B220E2" w:rsidRDefault="002A6BE2" w:rsidP="00724C70">
      <w:pPr>
        <w:pStyle w:val="Paragrafoelenco"/>
        <w:numPr>
          <w:ilvl w:val="0"/>
          <w:numId w:val="3"/>
        </w:numPr>
        <w:autoSpaceDE w:val="0"/>
        <w:autoSpaceDN w:val="0"/>
        <w:adjustRightInd w:val="0"/>
        <w:spacing w:after="0" w:line="276" w:lineRule="auto"/>
        <w:ind w:right="-1"/>
        <w:contextualSpacing w:val="0"/>
        <w:jc w:val="both"/>
        <w:rPr>
          <w:rFonts w:ascii="Garamond" w:hAnsi="Garamond" w:cs="Times New Roman"/>
          <w:sz w:val="23"/>
          <w:szCs w:val="23"/>
        </w:rPr>
      </w:pPr>
      <w:r w:rsidRPr="00B220E2">
        <w:rPr>
          <w:rFonts w:ascii="Garamond" w:hAnsi="Garamond" w:cs="Times New Roman"/>
          <w:sz w:val="23"/>
          <w:szCs w:val="23"/>
        </w:rPr>
        <w:t xml:space="preserve">D.P.R. 16 aprile 2013, n. 62 “Regolamento recante codice di comportamento dei dipendenti pubblici, a norma dell'articolo 54 del </w:t>
      </w:r>
      <w:proofErr w:type="spellStart"/>
      <w:proofErr w:type="gramStart"/>
      <w:r w:rsidRPr="00B220E2">
        <w:rPr>
          <w:rFonts w:ascii="Garamond" w:hAnsi="Garamond" w:cs="Times New Roman"/>
          <w:sz w:val="23"/>
          <w:szCs w:val="23"/>
        </w:rPr>
        <w:t>D.Lgs</w:t>
      </w:r>
      <w:proofErr w:type="gramEnd"/>
      <w:r w:rsidRPr="00B220E2">
        <w:rPr>
          <w:rFonts w:ascii="Garamond" w:hAnsi="Garamond" w:cs="Times New Roman"/>
          <w:sz w:val="23"/>
          <w:szCs w:val="23"/>
        </w:rPr>
        <w:t>.</w:t>
      </w:r>
      <w:proofErr w:type="spellEnd"/>
      <w:r w:rsidRPr="00B220E2">
        <w:rPr>
          <w:rFonts w:ascii="Garamond" w:hAnsi="Garamond" w:cs="Times New Roman"/>
          <w:sz w:val="23"/>
          <w:szCs w:val="23"/>
        </w:rPr>
        <w:t xml:space="preserve"> 30 marzo 2001, n. 165”</w:t>
      </w:r>
      <w:r w:rsidR="00664F08" w:rsidRPr="00B220E2">
        <w:rPr>
          <w:rFonts w:ascii="Garamond" w:hAnsi="Garamond" w:cs="Times New Roman"/>
          <w:color w:val="00B050"/>
          <w:sz w:val="23"/>
          <w:szCs w:val="23"/>
        </w:rPr>
        <w:t xml:space="preserve"> </w:t>
      </w:r>
      <w:r w:rsidR="00664F08" w:rsidRPr="00211370">
        <w:rPr>
          <w:rFonts w:ascii="Garamond" w:hAnsi="Garamond" w:cs="Times New Roman"/>
          <w:sz w:val="23"/>
          <w:szCs w:val="23"/>
        </w:rPr>
        <w:t xml:space="preserve">e </w:t>
      </w:r>
      <w:proofErr w:type="spellStart"/>
      <w:r w:rsidR="00664F08" w:rsidRPr="00211370">
        <w:rPr>
          <w:rFonts w:ascii="Garamond" w:hAnsi="Garamond" w:cs="Times New Roman"/>
          <w:sz w:val="23"/>
          <w:szCs w:val="23"/>
        </w:rPr>
        <w:t>ss.mm.ii</w:t>
      </w:r>
      <w:proofErr w:type="spellEnd"/>
      <w:r w:rsidR="00664F08" w:rsidRPr="00211370">
        <w:rPr>
          <w:rFonts w:ascii="Garamond" w:hAnsi="Garamond" w:cs="Times New Roman"/>
          <w:sz w:val="23"/>
          <w:szCs w:val="23"/>
        </w:rPr>
        <w:t>.</w:t>
      </w:r>
      <w:r w:rsidRPr="00211370">
        <w:rPr>
          <w:rFonts w:ascii="Garamond" w:hAnsi="Garamond" w:cs="Times New Roman"/>
          <w:sz w:val="23"/>
          <w:szCs w:val="23"/>
        </w:rPr>
        <w:t>;</w:t>
      </w:r>
    </w:p>
    <w:p w14:paraId="42E407A2" w14:textId="77777777" w:rsidR="00870A5C" w:rsidRPr="00D86DC5" w:rsidRDefault="002A6BE2" w:rsidP="00724C70">
      <w:pPr>
        <w:pStyle w:val="Paragrafoelenco"/>
        <w:numPr>
          <w:ilvl w:val="0"/>
          <w:numId w:val="3"/>
        </w:numPr>
        <w:autoSpaceDE w:val="0"/>
        <w:autoSpaceDN w:val="0"/>
        <w:adjustRightInd w:val="0"/>
        <w:spacing w:after="0" w:line="276" w:lineRule="auto"/>
        <w:ind w:right="-1"/>
        <w:contextualSpacing w:val="0"/>
        <w:jc w:val="both"/>
        <w:rPr>
          <w:rFonts w:ascii="Garamond" w:hAnsi="Garamond" w:cs="Times New Roman"/>
          <w:sz w:val="23"/>
          <w:szCs w:val="23"/>
        </w:rPr>
      </w:pPr>
      <w:proofErr w:type="spellStart"/>
      <w:r w:rsidRPr="00D86DC5">
        <w:rPr>
          <w:rFonts w:ascii="Garamond" w:hAnsi="Garamond" w:cs="Times New Roman"/>
          <w:sz w:val="23"/>
          <w:szCs w:val="23"/>
        </w:rPr>
        <w:t>D.Lgs.</w:t>
      </w:r>
      <w:proofErr w:type="spellEnd"/>
      <w:r w:rsidRPr="00D86DC5">
        <w:rPr>
          <w:rFonts w:ascii="Garamond" w:hAnsi="Garamond" w:cs="Times New Roman"/>
          <w:sz w:val="23"/>
          <w:szCs w:val="23"/>
        </w:rPr>
        <w:t xml:space="preserve">  25 maggio 2016 n. 97 recante “Revisione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w:t>
      </w:r>
      <w:r w:rsidR="00790543" w:rsidRPr="00D86DC5">
        <w:rPr>
          <w:rFonts w:ascii="Garamond" w:hAnsi="Garamond" w:cs="Times New Roman"/>
          <w:sz w:val="23"/>
          <w:szCs w:val="23"/>
        </w:rPr>
        <w:t>;</w:t>
      </w:r>
    </w:p>
    <w:p w14:paraId="4105B61B" w14:textId="77777777" w:rsidR="00870A5C" w:rsidRPr="00D86DC5" w:rsidRDefault="002A6BE2" w:rsidP="00724C70">
      <w:pPr>
        <w:pStyle w:val="Paragrafoelenco"/>
        <w:numPr>
          <w:ilvl w:val="0"/>
          <w:numId w:val="3"/>
        </w:numPr>
        <w:autoSpaceDE w:val="0"/>
        <w:autoSpaceDN w:val="0"/>
        <w:adjustRightInd w:val="0"/>
        <w:spacing w:after="0" w:line="276" w:lineRule="auto"/>
        <w:ind w:right="-1"/>
        <w:contextualSpacing w:val="0"/>
        <w:jc w:val="both"/>
        <w:rPr>
          <w:rFonts w:ascii="Garamond" w:hAnsi="Garamond" w:cs="Times New Roman"/>
          <w:sz w:val="23"/>
          <w:szCs w:val="23"/>
        </w:rPr>
      </w:pPr>
      <w:r w:rsidRPr="00D86DC5">
        <w:rPr>
          <w:rFonts w:ascii="Garamond" w:hAnsi="Garamond" w:cs="Times New Roman"/>
          <w:sz w:val="23"/>
          <w:szCs w:val="23"/>
        </w:rPr>
        <w:t>Legge 30/11/2017 n. 179 “Disposizioni per la tutela degli autori di segnalazioni di reati o irregolarità di cui siano venuti a conoscenza nell’ambito di un rapporto di lavoro pubblico o privato” (</w:t>
      </w:r>
      <w:proofErr w:type="spellStart"/>
      <w:r w:rsidRPr="00D86DC5">
        <w:rPr>
          <w:rFonts w:ascii="Garamond" w:hAnsi="Garamond" w:cs="Times New Roman"/>
          <w:sz w:val="23"/>
          <w:szCs w:val="23"/>
        </w:rPr>
        <w:t>Whistleblower</w:t>
      </w:r>
      <w:proofErr w:type="spellEnd"/>
      <w:r w:rsidRPr="00D86DC5">
        <w:rPr>
          <w:rFonts w:ascii="Garamond" w:hAnsi="Garamond" w:cs="Times New Roman"/>
          <w:sz w:val="23"/>
          <w:szCs w:val="23"/>
        </w:rPr>
        <w:t>)</w:t>
      </w:r>
      <w:r w:rsidR="00790543" w:rsidRPr="00D86DC5">
        <w:rPr>
          <w:rFonts w:ascii="Garamond" w:hAnsi="Garamond" w:cs="Times New Roman"/>
          <w:sz w:val="23"/>
          <w:szCs w:val="23"/>
        </w:rPr>
        <w:t>;</w:t>
      </w:r>
    </w:p>
    <w:p w14:paraId="13280500" w14:textId="75C67186" w:rsidR="00E9538E" w:rsidRPr="00211370" w:rsidRDefault="002A6BE2" w:rsidP="00724C70">
      <w:pPr>
        <w:pStyle w:val="Paragrafoelenco"/>
        <w:numPr>
          <w:ilvl w:val="0"/>
          <w:numId w:val="3"/>
        </w:numPr>
        <w:shd w:val="clear" w:color="auto" w:fill="FFFFFF"/>
        <w:autoSpaceDE w:val="0"/>
        <w:autoSpaceDN w:val="0"/>
        <w:adjustRightInd w:val="0"/>
        <w:spacing w:after="0" w:line="276" w:lineRule="auto"/>
        <w:ind w:right="-1"/>
        <w:contextualSpacing w:val="0"/>
        <w:jc w:val="both"/>
        <w:rPr>
          <w:rFonts w:ascii="Garamond" w:hAnsi="Garamond" w:cs="Times New Roman"/>
          <w:color w:val="333333"/>
          <w:sz w:val="23"/>
          <w:szCs w:val="23"/>
        </w:rPr>
      </w:pPr>
      <w:r w:rsidRPr="00211370">
        <w:rPr>
          <w:rFonts w:ascii="Garamond" w:hAnsi="Garamond" w:cs="Times New Roman"/>
          <w:sz w:val="23"/>
          <w:szCs w:val="23"/>
        </w:rPr>
        <w:t xml:space="preserve">D.lgs. 10 agosto 2018, n. 101 che adegua il Codice in materia di protezione dei dati personali – </w:t>
      </w:r>
      <w:proofErr w:type="spellStart"/>
      <w:proofErr w:type="gramStart"/>
      <w:r w:rsidR="00E253F2" w:rsidRPr="00211370">
        <w:rPr>
          <w:rFonts w:ascii="Garamond" w:hAnsi="Garamond" w:cs="Times New Roman"/>
          <w:sz w:val="23"/>
          <w:szCs w:val="23"/>
        </w:rPr>
        <w:t>D.L</w:t>
      </w:r>
      <w:r w:rsidRPr="00211370">
        <w:rPr>
          <w:rFonts w:ascii="Garamond" w:hAnsi="Garamond" w:cs="Times New Roman"/>
          <w:sz w:val="23"/>
          <w:szCs w:val="23"/>
        </w:rPr>
        <w:t>gs</w:t>
      </w:r>
      <w:proofErr w:type="gramEnd"/>
      <w:r w:rsidRPr="00211370">
        <w:rPr>
          <w:rFonts w:ascii="Garamond" w:hAnsi="Garamond" w:cs="Times New Roman"/>
          <w:sz w:val="23"/>
          <w:szCs w:val="23"/>
        </w:rPr>
        <w:t>.</w:t>
      </w:r>
      <w:proofErr w:type="spellEnd"/>
      <w:r w:rsidRPr="00211370">
        <w:rPr>
          <w:rFonts w:ascii="Garamond" w:hAnsi="Garamond" w:cs="Times New Roman"/>
          <w:sz w:val="23"/>
          <w:szCs w:val="23"/>
        </w:rPr>
        <w:t xml:space="preserve"> 30 giugno 2003, n. 196 – alle disposizioni del Regolamento (UE) 2016/679</w:t>
      </w:r>
      <w:r w:rsidR="00582212" w:rsidRPr="00211370">
        <w:rPr>
          <w:rFonts w:ascii="Garamond" w:hAnsi="Garamond" w:cs="Times New Roman"/>
          <w:sz w:val="23"/>
          <w:szCs w:val="23"/>
        </w:rPr>
        <w:t>;</w:t>
      </w:r>
    </w:p>
    <w:p w14:paraId="1B8BF287" w14:textId="2A3386F9" w:rsidR="00654E69" w:rsidRDefault="00654E69" w:rsidP="00724C70">
      <w:pPr>
        <w:pStyle w:val="Paragrafoelenco"/>
        <w:numPr>
          <w:ilvl w:val="0"/>
          <w:numId w:val="3"/>
        </w:numPr>
        <w:autoSpaceDE w:val="0"/>
        <w:autoSpaceDN w:val="0"/>
        <w:adjustRightInd w:val="0"/>
        <w:spacing w:after="0" w:line="276" w:lineRule="auto"/>
        <w:ind w:right="-1"/>
        <w:contextualSpacing w:val="0"/>
        <w:jc w:val="both"/>
        <w:rPr>
          <w:rFonts w:ascii="Garamond" w:hAnsi="Garamond" w:cs="Times New Roman"/>
          <w:sz w:val="23"/>
          <w:szCs w:val="23"/>
        </w:rPr>
      </w:pPr>
      <w:r w:rsidRPr="00353417">
        <w:rPr>
          <w:rFonts w:ascii="Garamond" w:hAnsi="Garamond" w:cs="Times New Roman"/>
          <w:sz w:val="23"/>
          <w:szCs w:val="23"/>
        </w:rPr>
        <w:t>Piano Nazionale Anticorruzione (PNA) 2019, approvato con Delibera del Consiglio dell’Autorità Nazionale Anticorruzione n. 1064 del 13 novembre 2019;</w:t>
      </w:r>
    </w:p>
    <w:p w14:paraId="15CDBFB9" w14:textId="2E02842F" w:rsidR="00BB0D90" w:rsidRPr="008A440E" w:rsidRDefault="00BB0D90" w:rsidP="00724C70">
      <w:pPr>
        <w:pStyle w:val="Paragrafoelenco"/>
        <w:numPr>
          <w:ilvl w:val="0"/>
          <w:numId w:val="3"/>
        </w:numPr>
        <w:autoSpaceDE w:val="0"/>
        <w:autoSpaceDN w:val="0"/>
        <w:adjustRightInd w:val="0"/>
        <w:spacing w:after="0" w:line="276" w:lineRule="auto"/>
        <w:ind w:right="-1"/>
        <w:contextualSpacing w:val="0"/>
        <w:jc w:val="both"/>
        <w:rPr>
          <w:rFonts w:ascii="Garamond" w:hAnsi="Garamond" w:cs="Times New Roman"/>
          <w:sz w:val="23"/>
          <w:szCs w:val="23"/>
        </w:rPr>
      </w:pPr>
      <w:r w:rsidRPr="008A440E">
        <w:rPr>
          <w:rFonts w:ascii="Garamond" w:hAnsi="Garamond" w:cs="Times New Roman"/>
          <w:sz w:val="23"/>
          <w:szCs w:val="23"/>
        </w:rPr>
        <w:t>D.L. 16.07.2020 n. 76 recante “Misure urgenti per la semplificazione e l’innovazione digitale”;</w:t>
      </w:r>
    </w:p>
    <w:p w14:paraId="1531CF9C" w14:textId="464A313E" w:rsidR="00983E3D" w:rsidRPr="008A440E" w:rsidRDefault="00983E3D" w:rsidP="00724C70">
      <w:pPr>
        <w:pStyle w:val="Paragrafoelenco"/>
        <w:numPr>
          <w:ilvl w:val="0"/>
          <w:numId w:val="3"/>
        </w:numPr>
        <w:shd w:val="clear" w:color="auto" w:fill="FFFFFF"/>
        <w:autoSpaceDE w:val="0"/>
        <w:autoSpaceDN w:val="0"/>
        <w:adjustRightInd w:val="0"/>
        <w:spacing w:after="0" w:line="276" w:lineRule="auto"/>
        <w:ind w:right="-1"/>
        <w:contextualSpacing w:val="0"/>
        <w:jc w:val="both"/>
        <w:rPr>
          <w:rFonts w:ascii="Garamond" w:hAnsi="Garamond" w:cs="Times New Roman"/>
          <w:color w:val="333333"/>
          <w:sz w:val="23"/>
          <w:szCs w:val="23"/>
        </w:rPr>
      </w:pPr>
      <w:r w:rsidRPr="008A440E">
        <w:rPr>
          <w:rFonts w:ascii="Garamond" w:hAnsi="Garamond" w:cs="Times New Roman"/>
          <w:color w:val="333333"/>
          <w:sz w:val="23"/>
          <w:szCs w:val="23"/>
        </w:rPr>
        <w:t>D.L. 31.05.2011 n. 77 recante “</w:t>
      </w:r>
      <w:proofErr w:type="spellStart"/>
      <w:r w:rsidRPr="008A440E">
        <w:rPr>
          <w:rFonts w:ascii="Garamond" w:hAnsi="Garamond" w:cs="Times New Roman"/>
          <w:i/>
          <w:iCs/>
          <w:color w:val="333333"/>
          <w:sz w:val="23"/>
          <w:szCs w:val="23"/>
        </w:rPr>
        <w:t>Governance</w:t>
      </w:r>
      <w:proofErr w:type="spellEnd"/>
      <w:r w:rsidRPr="008A440E">
        <w:rPr>
          <w:rFonts w:ascii="Garamond" w:hAnsi="Garamond" w:cs="Times New Roman"/>
          <w:i/>
          <w:iCs/>
          <w:color w:val="333333"/>
          <w:sz w:val="23"/>
          <w:szCs w:val="23"/>
        </w:rPr>
        <w:t xml:space="preserve"> del Piano Nazionale di ripresa e resilienza e prime misure di rafforzamento delle strutture amministrative e di accelerazione e snellimento delle procedure</w:t>
      </w:r>
      <w:r w:rsidRPr="008A440E">
        <w:rPr>
          <w:rFonts w:ascii="Garamond" w:hAnsi="Garamond" w:cs="Times New Roman"/>
          <w:color w:val="333333"/>
          <w:sz w:val="23"/>
          <w:szCs w:val="23"/>
        </w:rPr>
        <w:t xml:space="preserve">”; </w:t>
      </w:r>
    </w:p>
    <w:p w14:paraId="015486A7" w14:textId="4166860F" w:rsidR="00366645" w:rsidRPr="00D86DC5" w:rsidRDefault="00495A4B" w:rsidP="00724C70">
      <w:pPr>
        <w:pStyle w:val="Paragrafoelenco"/>
        <w:numPr>
          <w:ilvl w:val="0"/>
          <w:numId w:val="3"/>
        </w:numPr>
        <w:shd w:val="clear" w:color="auto" w:fill="FFFFFF"/>
        <w:autoSpaceDE w:val="0"/>
        <w:autoSpaceDN w:val="0"/>
        <w:adjustRightInd w:val="0"/>
        <w:spacing w:after="0" w:line="276" w:lineRule="auto"/>
        <w:ind w:right="-1"/>
        <w:contextualSpacing w:val="0"/>
        <w:jc w:val="both"/>
        <w:rPr>
          <w:rFonts w:ascii="Garamond" w:hAnsi="Garamond" w:cs="Times New Roman"/>
          <w:color w:val="333333"/>
          <w:sz w:val="23"/>
          <w:szCs w:val="23"/>
        </w:rPr>
      </w:pPr>
      <w:r w:rsidRPr="00D86DC5">
        <w:rPr>
          <w:rFonts w:ascii="Garamond" w:hAnsi="Garamond" w:cs="Times New Roman"/>
          <w:sz w:val="23"/>
          <w:szCs w:val="23"/>
        </w:rPr>
        <w:lastRenderedPageBreak/>
        <w:t>D.L. 9 giugno 2021, n. 80 “Misure urgenti per il rafforzamento della capacità amministrativa delle pubbliche amministrazioni funzionale all'attuazione del Piano nazionale di ripresa e resilienza (PNRR) e per l'efficienza della giustizia.” convertito in legge, con modificazioni, dall'art. 1, co</w:t>
      </w:r>
      <w:r w:rsidR="00366645" w:rsidRPr="00D86DC5">
        <w:rPr>
          <w:rFonts w:ascii="Garamond" w:hAnsi="Garamond" w:cs="Times New Roman"/>
          <w:sz w:val="23"/>
          <w:szCs w:val="23"/>
        </w:rPr>
        <w:t>mma 1, L. 6 agosto 2021, n. 113, art. 6</w:t>
      </w:r>
      <w:r w:rsidR="00A27E85" w:rsidRPr="00D86DC5">
        <w:rPr>
          <w:rFonts w:ascii="Garamond" w:hAnsi="Garamond" w:cs="Times New Roman"/>
          <w:sz w:val="23"/>
          <w:szCs w:val="23"/>
        </w:rPr>
        <w:t xml:space="preserve">, con il quale è </w:t>
      </w:r>
      <w:r w:rsidR="00933F1E" w:rsidRPr="00D86DC5">
        <w:rPr>
          <w:rFonts w:ascii="Garamond" w:hAnsi="Garamond" w:cs="Times New Roman"/>
          <w:sz w:val="23"/>
          <w:szCs w:val="23"/>
        </w:rPr>
        <w:t xml:space="preserve">stato introdotto </w:t>
      </w:r>
      <w:r w:rsidR="00A35594" w:rsidRPr="00D86DC5">
        <w:rPr>
          <w:rFonts w:ascii="Garamond" w:hAnsi="Garamond" w:cs="Times New Roman"/>
          <w:sz w:val="23"/>
          <w:szCs w:val="23"/>
        </w:rPr>
        <w:t>il Piano Integrato di Attività e Organizzazione (PIAO)</w:t>
      </w:r>
      <w:r w:rsidR="00024739" w:rsidRPr="00D86DC5">
        <w:rPr>
          <w:rFonts w:ascii="Garamond" w:hAnsi="Garamond" w:cs="Times New Roman"/>
          <w:sz w:val="23"/>
          <w:szCs w:val="23"/>
        </w:rPr>
        <w:t>;</w:t>
      </w:r>
      <w:r w:rsidR="00A35594" w:rsidRPr="00D86DC5">
        <w:rPr>
          <w:rFonts w:ascii="Garamond" w:hAnsi="Garamond" w:cs="Times New Roman"/>
          <w:sz w:val="23"/>
          <w:szCs w:val="23"/>
        </w:rPr>
        <w:t xml:space="preserve"> </w:t>
      </w:r>
    </w:p>
    <w:bookmarkEnd w:id="6"/>
    <w:p w14:paraId="52800AA1" w14:textId="7EF31E38" w:rsidR="009809F8" w:rsidRPr="00211370" w:rsidRDefault="009809F8" w:rsidP="00724C70">
      <w:pPr>
        <w:pStyle w:val="Paragrafoelenco"/>
        <w:numPr>
          <w:ilvl w:val="0"/>
          <w:numId w:val="3"/>
        </w:numPr>
        <w:autoSpaceDE w:val="0"/>
        <w:autoSpaceDN w:val="0"/>
        <w:adjustRightInd w:val="0"/>
        <w:spacing w:after="0" w:line="276" w:lineRule="auto"/>
        <w:ind w:right="-1"/>
        <w:contextualSpacing w:val="0"/>
        <w:jc w:val="both"/>
        <w:rPr>
          <w:rFonts w:ascii="Garamond" w:hAnsi="Garamond" w:cs="Times New Roman"/>
          <w:sz w:val="23"/>
          <w:szCs w:val="23"/>
        </w:rPr>
      </w:pPr>
      <w:r w:rsidRPr="00211370">
        <w:rPr>
          <w:rFonts w:ascii="Garamond" w:hAnsi="Garamond" w:cs="Times New Roman"/>
          <w:sz w:val="23"/>
          <w:szCs w:val="23"/>
        </w:rPr>
        <w:t>D.P.R. 24 giugno 2022, n. 81 “Regolamento recante individuazione degli adempimenti relativi ai Piani</w:t>
      </w:r>
      <w:r w:rsidR="008C6CA5" w:rsidRPr="00211370">
        <w:rPr>
          <w:rFonts w:ascii="Garamond" w:hAnsi="Garamond" w:cs="Times New Roman"/>
          <w:sz w:val="23"/>
          <w:szCs w:val="23"/>
        </w:rPr>
        <w:t xml:space="preserve"> </w:t>
      </w:r>
      <w:r w:rsidRPr="00211370">
        <w:rPr>
          <w:rFonts w:ascii="Garamond" w:hAnsi="Garamond" w:cs="Times New Roman"/>
          <w:sz w:val="23"/>
          <w:szCs w:val="23"/>
        </w:rPr>
        <w:t>assorbiti dal Piano integrato di attività e organizzazione.”;</w:t>
      </w:r>
    </w:p>
    <w:p w14:paraId="6A3E8F6E" w14:textId="3302FADB" w:rsidR="009809F8" w:rsidRPr="00211370" w:rsidRDefault="0079740A" w:rsidP="00724C70">
      <w:pPr>
        <w:pStyle w:val="Paragrafoelenco"/>
        <w:numPr>
          <w:ilvl w:val="0"/>
          <w:numId w:val="3"/>
        </w:numPr>
        <w:autoSpaceDE w:val="0"/>
        <w:autoSpaceDN w:val="0"/>
        <w:adjustRightInd w:val="0"/>
        <w:spacing w:after="0" w:line="276" w:lineRule="auto"/>
        <w:ind w:right="-1"/>
        <w:contextualSpacing w:val="0"/>
        <w:jc w:val="both"/>
        <w:rPr>
          <w:rFonts w:ascii="Garamond" w:hAnsi="Garamond" w:cs="Times New Roman"/>
          <w:sz w:val="23"/>
          <w:szCs w:val="23"/>
        </w:rPr>
      </w:pPr>
      <w:r w:rsidRPr="00211370">
        <w:rPr>
          <w:rFonts w:ascii="Garamond" w:hAnsi="Garamond" w:cs="Times New Roman"/>
          <w:sz w:val="23"/>
          <w:szCs w:val="23"/>
        </w:rPr>
        <w:t>D.M. 30 giugno 2022, n. 132 “Regolamento recante definizione del contenuto del Piano integrato di attività e organizzazione.”;</w:t>
      </w:r>
    </w:p>
    <w:p w14:paraId="145E78D4" w14:textId="54EA8294" w:rsidR="0079740A" w:rsidRDefault="0079740A" w:rsidP="00724C70">
      <w:pPr>
        <w:pStyle w:val="Paragrafoelenco"/>
        <w:numPr>
          <w:ilvl w:val="0"/>
          <w:numId w:val="3"/>
        </w:numPr>
        <w:autoSpaceDE w:val="0"/>
        <w:autoSpaceDN w:val="0"/>
        <w:adjustRightInd w:val="0"/>
        <w:spacing w:after="0" w:line="276" w:lineRule="auto"/>
        <w:ind w:right="-1"/>
        <w:contextualSpacing w:val="0"/>
        <w:jc w:val="both"/>
        <w:rPr>
          <w:rFonts w:ascii="Garamond" w:hAnsi="Garamond" w:cs="Times New Roman"/>
          <w:sz w:val="23"/>
          <w:szCs w:val="23"/>
        </w:rPr>
      </w:pPr>
      <w:r w:rsidRPr="00211370">
        <w:rPr>
          <w:rFonts w:ascii="Garamond" w:hAnsi="Garamond" w:cs="Times New Roman"/>
          <w:sz w:val="23"/>
          <w:szCs w:val="23"/>
        </w:rPr>
        <w:t>Piano Nazionale Anticorruzione (PNA) 2022, a</w:t>
      </w:r>
      <w:r w:rsidR="000164F7" w:rsidRPr="00211370">
        <w:rPr>
          <w:rFonts w:ascii="Garamond" w:hAnsi="Garamond" w:cs="Times New Roman"/>
          <w:sz w:val="23"/>
          <w:szCs w:val="23"/>
        </w:rPr>
        <w:t>pprovato dal Consiglio dell'ANAC</w:t>
      </w:r>
      <w:r w:rsidRPr="00211370">
        <w:rPr>
          <w:rFonts w:ascii="Garamond" w:hAnsi="Garamond" w:cs="Times New Roman"/>
          <w:sz w:val="23"/>
          <w:szCs w:val="23"/>
        </w:rPr>
        <w:t xml:space="preserve"> il 16 novembre 2022 </w:t>
      </w:r>
      <w:r w:rsidR="000164F7" w:rsidRPr="00211370">
        <w:rPr>
          <w:rFonts w:ascii="Garamond" w:hAnsi="Garamond" w:cs="Times New Roman"/>
          <w:sz w:val="23"/>
          <w:szCs w:val="23"/>
        </w:rPr>
        <w:t>ed inviato al</w:t>
      </w:r>
      <w:r w:rsidRPr="00211370">
        <w:rPr>
          <w:rFonts w:ascii="Garamond" w:hAnsi="Garamond" w:cs="Times New Roman"/>
          <w:sz w:val="23"/>
          <w:szCs w:val="23"/>
        </w:rPr>
        <w:t xml:space="preserve"> Comitato Interministeriale e </w:t>
      </w:r>
      <w:r w:rsidR="000164F7" w:rsidRPr="00211370">
        <w:rPr>
          <w:rFonts w:ascii="Garamond" w:hAnsi="Garamond" w:cs="Times New Roman"/>
          <w:sz w:val="23"/>
          <w:szCs w:val="23"/>
        </w:rPr>
        <w:t xml:space="preserve">alla </w:t>
      </w:r>
      <w:r w:rsidRPr="00211370">
        <w:rPr>
          <w:rFonts w:ascii="Garamond" w:hAnsi="Garamond" w:cs="Times New Roman"/>
          <w:sz w:val="23"/>
          <w:szCs w:val="23"/>
        </w:rPr>
        <w:t>Conferenza Unificata</w:t>
      </w:r>
      <w:r w:rsidR="000164F7" w:rsidRPr="00211370">
        <w:rPr>
          <w:rFonts w:ascii="Garamond" w:hAnsi="Garamond" w:cs="Times New Roman"/>
          <w:sz w:val="23"/>
          <w:szCs w:val="23"/>
        </w:rPr>
        <w:t xml:space="preserve"> ai fini dell’acquisizione dei rispettivi pareri (la Conferenza Unificata ha espresso parere favorevole nella seduta del 21 dicembre 2022).</w:t>
      </w:r>
      <w:r w:rsidR="00BB0D90">
        <w:rPr>
          <w:rFonts w:ascii="Garamond" w:hAnsi="Garamond" w:cs="Times New Roman"/>
          <w:sz w:val="23"/>
          <w:szCs w:val="23"/>
        </w:rPr>
        <w:t xml:space="preserve"> </w:t>
      </w:r>
    </w:p>
    <w:p w14:paraId="6A8879FC" w14:textId="274FE91F" w:rsidR="00933342" w:rsidRDefault="00933342" w:rsidP="00582EFE">
      <w:pPr>
        <w:autoSpaceDE w:val="0"/>
        <w:autoSpaceDN w:val="0"/>
        <w:adjustRightInd w:val="0"/>
        <w:spacing w:after="0" w:line="276" w:lineRule="auto"/>
        <w:ind w:right="-1"/>
        <w:jc w:val="both"/>
        <w:rPr>
          <w:rFonts w:ascii="Garamond" w:eastAsia="Calibri" w:hAnsi="Garamond" w:cs="Times New Roman"/>
          <w:iCs/>
          <w:color w:val="00B050"/>
          <w:sz w:val="23"/>
          <w:szCs w:val="23"/>
        </w:rPr>
      </w:pPr>
    </w:p>
    <w:p w14:paraId="342CE7C0" w14:textId="5478F2B5" w:rsidR="007D28A0" w:rsidRPr="00560F0A" w:rsidRDefault="00EA1A5C" w:rsidP="00582EFE">
      <w:pPr>
        <w:spacing w:after="0" w:line="276" w:lineRule="auto"/>
        <w:ind w:right="-1"/>
        <w:jc w:val="both"/>
        <w:rPr>
          <w:rFonts w:ascii="Garamond" w:eastAsia="Calibri" w:hAnsi="Garamond" w:cs="Times New Roman"/>
          <w:b/>
          <w:i/>
          <w:iCs/>
          <w:smallCaps/>
          <w:sz w:val="23"/>
          <w:szCs w:val="23"/>
        </w:rPr>
      </w:pPr>
      <w:r w:rsidRPr="00560F0A">
        <w:rPr>
          <w:rFonts w:ascii="Garamond" w:eastAsia="Calibri" w:hAnsi="Garamond" w:cs="Times New Roman"/>
          <w:b/>
          <w:i/>
          <w:iCs/>
          <w:smallCaps/>
          <w:sz w:val="23"/>
          <w:szCs w:val="23"/>
        </w:rPr>
        <w:t>Performance organizzativa e individuale e misure di prevenzione della corruzione e di trasparenza</w:t>
      </w:r>
    </w:p>
    <w:p w14:paraId="42AAFDEA" w14:textId="7889C20F" w:rsidR="00EA1A5C" w:rsidRPr="00EA1A5C" w:rsidRDefault="00EA1A5C" w:rsidP="00582EFE">
      <w:pPr>
        <w:autoSpaceDE w:val="0"/>
        <w:autoSpaceDN w:val="0"/>
        <w:adjustRightInd w:val="0"/>
        <w:spacing w:after="0" w:line="276" w:lineRule="auto"/>
        <w:ind w:right="-1"/>
        <w:jc w:val="both"/>
        <w:rPr>
          <w:rFonts w:ascii="Garamond" w:eastAsia="Calibri" w:hAnsi="Garamond" w:cs="Times New Roman"/>
          <w:iCs/>
          <w:sz w:val="23"/>
          <w:szCs w:val="23"/>
        </w:rPr>
      </w:pPr>
      <w:r w:rsidRPr="00EA1A5C">
        <w:rPr>
          <w:rFonts w:ascii="Garamond" w:eastAsia="Calibri" w:hAnsi="Garamond" w:cs="Times New Roman"/>
          <w:iCs/>
          <w:sz w:val="23"/>
          <w:szCs w:val="23"/>
        </w:rPr>
        <w:t xml:space="preserve">L’obiettivo dello stretto collegamento </w:t>
      </w:r>
      <w:r>
        <w:rPr>
          <w:rFonts w:ascii="Garamond" w:eastAsia="Calibri" w:hAnsi="Garamond" w:cs="Times New Roman"/>
          <w:iCs/>
          <w:sz w:val="23"/>
          <w:szCs w:val="23"/>
        </w:rPr>
        <w:t>tra prevenzione della corruzione, trasparenza</w:t>
      </w:r>
      <w:r w:rsidRPr="00EA1A5C">
        <w:rPr>
          <w:rFonts w:ascii="Garamond" w:eastAsia="Calibri" w:hAnsi="Garamond" w:cs="Times New Roman"/>
          <w:iCs/>
          <w:sz w:val="23"/>
          <w:szCs w:val="23"/>
        </w:rPr>
        <w:t xml:space="preserve"> </w:t>
      </w:r>
      <w:r>
        <w:rPr>
          <w:rFonts w:ascii="Garamond" w:eastAsia="Calibri" w:hAnsi="Garamond" w:cs="Times New Roman"/>
          <w:iCs/>
          <w:sz w:val="23"/>
          <w:szCs w:val="23"/>
        </w:rPr>
        <w:t xml:space="preserve">e </w:t>
      </w:r>
      <w:r w:rsidRPr="00EA1A5C">
        <w:rPr>
          <w:rFonts w:ascii="Garamond" w:eastAsia="Calibri" w:hAnsi="Garamond" w:cs="Times New Roman"/>
          <w:i/>
          <w:iCs/>
          <w:sz w:val="23"/>
          <w:szCs w:val="23"/>
        </w:rPr>
        <w:t>performance</w:t>
      </w:r>
      <w:r w:rsidRPr="00EA1A5C">
        <w:rPr>
          <w:rFonts w:ascii="Garamond" w:eastAsia="Calibri" w:hAnsi="Garamond" w:cs="Times New Roman"/>
          <w:iCs/>
          <w:sz w:val="23"/>
          <w:szCs w:val="23"/>
        </w:rPr>
        <w:t xml:space="preserve"> trova oggi </w:t>
      </w:r>
      <w:r>
        <w:rPr>
          <w:rFonts w:ascii="Garamond" w:eastAsia="Calibri" w:hAnsi="Garamond" w:cs="Times New Roman"/>
          <w:iCs/>
          <w:sz w:val="23"/>
          <w:szCs w:val="23"/>
        </w:rPr>
        <w:t xml:space="preserve">massima espressione </w:t>
      </w:r>
      <w:r w:rsidRPr="00EA1A5C">
        <w:rPr>
          <w:rFonts w:ascii="Garamond" w:eastAsia="Calibri" w:hAnsi="Garamond" w:cs="Times New Roman"/>
          <w:iCs/>
          <w:sz w:val="23"/>
          <w:szCs w:val="23"/>
        </w:rPr>
        <w:t xml:space="preserve">con la </w:t>
      </w:r>
      <w:r>
        <w:rPr>
          <w:rFonts w:ascii="Garamond" w:eastAsia="Calibri" w:hAnsi="Garamond" w:cs="Times New Roman"/>
          <w:iCs/>
          <w:sz w:val="23"/>
          <w:szCs w:val="23"/>
        </w:rPr>
        <w:t>introduzione</w:t>
      </w:r>
      <w:r w:rsidRPr="00EA1A5C">
        <w:rPr>
          <w:rFonts w:ascii="Garamond" w:eastAsia="Calibri" w:hAnsi="Garamond" w:cs="Times New Roman"/>
          <w:iCs/>
          <w:sz w:val="23"/>
          <w:szCs w:val="23"/>
        </w:rPr>
        <w:t xml:space="preserve"> del </w:t>
      </w:r>
      <w:bookmarkStart w:id="7" w:name="_Hlk101548285"/>
      <w:r>
        <w:rPr>
          <w:rFonts w:ascii="Garamond" w:eastAsia="Calibri" w:hAnsi="Garamond" w:cs="Times New Roman"/>
          <w:iCs/>
          <w:sz w:val="23"/>
          <w:szCs w:val="23"/>
        </w:rPr>
        <w:t xml:space="preserve">nuovo strumento del </w:t>
      </w:r>
      <w:r w:rsidRPr="00EA1A5C">
        <w:rPr>
          <w:rFonts w:ascii="Garamond" w:eastAsia="Calibri" w:hAnsi="Garamond" w:cs="Times New Roman"/>
          <w:iCs/>
          <w:sz w:val="23"/>
          <w:szCs w:val="23"/>
        </w:rPr>
        <w:t>Piano Integrato di Attività e Organizzazione</w:t>
      </w:r>
      <w:bookmarkEnd w:id="7"/>
      <w:r>
        <w:rPr>
          <w:rFonts w:ascii="Garamond" w:eastAsia="Calibri" w:hAnsi="Garamond" w:cs="Times New Roman"/>
          <w:iCs/>
          <w:sz w:val="23"/>
          <w:szCs w:val="23"/>
        </w:rPr>
        <w:t xml:space="preserve"> (PIAO)</w:t>
      </w:r>
      <w:r w:rsidRPr="00EA1A5C">
        <w:rPr>
          <w:rFonts w:ascii="Garamond" w:eastAsia="Calibri" w:hAnsi="Garamond" w:cs="Times New Roman"/>
          <w:iCs/>
          <w:sz w:val="23"/>
          <w:szCs w:val="23"/>
        </w:rPr>
        <w:t>.</w:t>
      </w:r>
    </w:p>
    <w:p w14:paraId="1CAB9FE9" w14:textId="5A12555C" w:rsidR="00855BFA" w:rsidRDefault="009417F0" w:rsidP="00582EFE">
      <w:pPr>
        <w:autoSpaceDE w:val="0"/>
        <w:autoSpaceDN w:val="0"/>
        <w:adjustRightInd w:val="0"/>
        <w:spacing w:after="0" w:line="276" w:lineRule="auto"/>
        <w:ind w:right="-1"/>
        <w:jc w:val="both"/>
        <w:rPr>
          <w:rFonts w:ascii="Garamond" w:eastAsia="Calibri" w:hAnsi="Garamond" w:cs="Times New Roman"/>
          <w:iCs/>
          <w:sz w:val="23"/>
          <w:szCs w:val="23"/>
        </w:rPr>
      </w:pPr>
      <w:r w:rsidRPr="00D86DC5">
        <w:rPr>
          <w:rFonts w:ascii="Garamond" w:eastAsia="Calibri" w:hAnsi="Garamond" w:cs="Times New Roman"/>
          <w:iCs/>
          <w:sz w:val="23"/>
          <w:szCs w:val="23"/>
        </w:rPr>
        <w:t>Così, al precipuo scopo</w:t>
      </w:r>
      <w:r w:rsidR="00855BFA" w:rsidRPr="00D86DC5">
        <w:rPr>
          <w:rFonts w:ascii="Garamond" w:eastAsia="Calibri" w:hAnsi="Garamond" w:cs="Times New Roman"/>
          <w:iCs/>
          <w:sz w:val="23"/>
          <w:szCs w:val="23"/>
        </w:rPr>
        <w:t xml:space="preserve"> di facilitare l’implementazione di un chiaro programma di iniziative anticorruzione ben definite, di effettiva misurazione e adeguato monitoraggio e controllo, risulta necessario che le azioni e le misure di prevenzione della corruzione siano traslate, per quanto possibile, in obiettivi organizzativi. Solo </w:t>
      </w:r>
      <w:r w:rsidR="002F3705" w:rsidRPr="00D86DC5">
        <w:rPr>
          <w:rFonts w:ascii="Garamond" w:eastAsia="Calibri" w:hAnsi="Garamond" w:cs="Times New Roman"/>
          <w:iCs/>
          <w:sz w:val="23"/>
          <w:szCs w:val="23"/>
        </w:rPr>
        <w:t>così</w:t>
      </w:r>
      <w:r w:rsidR="00855BFA" w:rsidRPr="00D86DC5">
        <w:rPr>
          <w:rFonts w:ascii="Garamond" w:eastAsia="Calibri" w:hAnsi="Garamond" w:cs="Times New Roman"/>
          <w:iCs/>
          <w:sz w:val="23"/>
          <w:szCs w:val="23"/>
        </w:rPr>
        <w:t xml:space="preserve"> si può creare un effettivo collegamento, con una conseguente correlazione diretta </w:t>
      </w:r>
      <w:r w:rsidR="00EA1A5C">
        <w:rPr>
          <w:rFonts w:ascii="Garamond" w:eastAsia="Calibri" w:hAnsi="Garamond" w:cs="Times New Roman"/>
          <w:iCs/>
          <w:sz w:val="23"/>
          <w:szCs w:val="23"/>
        </w:rPr>
        <w:t>tra gli</w:t>
      </w:r>
      <w:r w:rsidR="00855BFA" w:rsidRPr="00D86DC5">
        <w:rPr>
          <w:rFonts w:ascii="Garamond" w:eastAsia="Calibri" w:hAnsi="Garamond" w:cs="Times New Roman"/>
          <w:iCs/>
          <w:sz w:val="23"/>
          <w:szCs w:val="23"/>
        </w:rPr>
        <w:t xml:space="preserve"> obiettivi </w:t>
      </w:r>
      <w:r w:rsidR="00EA1A5C">
        <w:rPr>
          <w:rFonts w:ascii="Garamond" w:eastAsia="Calibri" w:hAnsi="Garamond" w:cs="Times New Roman"/>
          <w:iCs/>
          <w:sz w:val="23"/>
          <w:szCs w:val="23"/>
        </w:rPr>
        <w:t xml:space="preserve">di </w:t>
      </w:r>
      <w:r w:rsidR="00855BFA" w:rsidRPr="00D86DC5">
        <w:rPr>
          <w:rFonts w:ascii="Garamond" w:eastAsia="Calibri" w:hAnsi="Garamond" w:cs="Times New Roman"/>
          <w:iCs/>
          <w:sz w:val="23"/>
          <w:szCs w:val="23"/>
        </w:rPr>
        <w:t xml:space="preserve">anticorruzione e trasparenza </w:t>
      </w:r>
      <w:r w:rsidR="00EA1A5C">
        <w:rPr>
          <w:rFonts w:ascii="Garamond" w:eastAsia="Calibri" w:hAnsi="Garamond" w:cs="Times New Roman"/>
          <w:iCs/>
          <w:sz w:val="23"/>
          <w:szCs w:val="23"/>
        </w:rPr>
        <w:t>e</w:t>
      </w:r>
      <w:r w:rsidR="00855BFA" w:rsidRPr="00D86DC5">
        <w:rPr>
          <w:rFonts w:ascii="Garamond" w:eastAsia="Calibri" w:hAnsi="Garamond" w:cs="Times New Roman"/>
          <w:iCs/>
          <w:sz w:val="23"/>
          <w:szCs w:val="23"/>
        </w:rPr>
        <w:t xml:space="preserve"> gli obiettivi di performance organizzativa e individuale.</w:t>
      </w:r>
    </w:p>
    <w:p w14:paraId="74D12C80" w14:textId="77777777" w:rsidR="00855BFA" w:rsidRPr="00D86DC5" w:rsidRDefault="00EF46F3" w:rsidP="00582EFE">
      <w:pPr>
        <w:autoSpaceDE w:val="0"/>
        <w:autoSpaceDN w:val="0"/>
        <w:adjustRightInd w:val="0"/>
        <w:spacing w:after="0" w:line="276" w:lineRule="auto"/>
        <w:ind w:right="-1"/>
        <w:jc w:val="both"/>
        <w:rPr>
          <w:rFonts w:ascii="Garamond" w:eastAsia="Calibri" w:hAnsi="Garamond" w:cs="Times New Roman"/>
          <w:iCs/>
          <w:sz w:val="23"/>
          <w:szCs w:val="23"/>
        </w:rPr>
      </w:pPr>
      <w:r w:rsidRPr="00D86DC5">
        <w:rPr>
          <w:rFonts w:ascii="Garamond" w:eastAsia="Calibri" w:hAnsi="Garamond" w:cs="Times New Roman"/>
          <w:iCs/>
          <w:sz w:val="23"/>
          <w:szCs w:val="23"/>
        </w:rPr>
        <w:t>P</w:t>
      </w:r>
      <w:r w:rsidR="00855BFA" w:rsidRPr="00D86DC5">
        <w:rPr>
          <w:rFonts w:ascii="Garamond" w:eastAsia="Calibri" w:hAnsi="Garamond" w:cs="Times New Roman"/>
          <w:iCs/>
          <w:sz w:val="23"/>
          <w:szCs w:val="23"/>
        </w:rPr>
        <w:t>er orientare l’organizzazione pubblica verso un miglioramento della performance, dal punto di vista della cultura organizzativa, della legalità e dell’</w:t>
      </w:r>
      <w:proofErr w:type="spellStart"/>
      <w:r w:rsidR="00855BFA" w:rsidRPr="0008029D">
        <w:rPr>
          <w:rFonts w:ascii="Garamond" w:eastAsia="Calibri" w:hAnsi="Garamond" w:cs="Times New Roman"/>
          <w:i/>
          <w:iCs/>
          <w:sz w:val="23"/>
          <w:szCs w:val="23"/>
        </w:rPr>
        <w:t>accountability</w:t>
      </w:r>
      <w:proofErr w:type="spellEnd"/>
      <w:r w:rsidR="00855BFA" w:rsidRPr="00D86DC5">
        <w:rPr>
          <w:rFonts w:ascii="Garamond" w:eastAsia="Calibri" w:hAnsi="Garamond" w:cs="Times New Roman"/>
          <w:iCs/>
          <w:sz w:val="23"/>
          <w:szCs w:val="23"/>
        </w:rPr>
        <w:t xml:space="preserve">, </w:t>
      </w:r>
      <w:r w:rsidR="005B597B" w:rsidRPr="00D86DC5">
        <w:rPr>
          <w:rFonts w:ascii="Garamond" w:eastAsia="Calibri" w:hAnsi="Garamond" w:cs="Times New Roman"/>
          <w:iCs/>
          <w:sz w:val="23"/>
          <w:szCs w:val="23"/>
        </w:rPr>
        <w:t>occorre</w:t>
      </w:r>
      <w:r w:rsidR="00855BFA" w:rsidRPr="00D86DC5">
        <w:rPr>
          <w:rFonts w:ascii="Garamond" w:eastAsia="Calibri" w:hAnsi="Garamond" w:cs="Times New Roman"/>
          <w:iCs/>
          <w:sz w:val="23"/>
          <w:szCs w:val="23"/>
        </w:rPr>
        <w:t xml:space="preserve"> attivare iniziative specifiche volte al potenziamento degli interventi di gestione del rischio corruttivo e di incremento della trasparenza verso la collettività.</w:t>
      </w:r>
    </w:p>
    <w:p w14:paraId="17A52709" w14:textId="6C2BAE74" w:rsidR="00855BFA" w:rsidRPr="00D86DC5" w:rsidRDefault="00855BFA" w:rsidP="00582EFE">
      <w:pPr>
        <w:autoSpaceDE w:val="0"/>
        <w:autoSpaceDN w:val="0"/>
        <w:adjustRightInd w:val="0"/>
        <w:spacing w:after="0" w:line="276" w:lineRule="auto"/>
        <w:ind w:right="-1"/>
        <w:jc w:val="both"/>
        <w:rPr>
          <w:rFonts w:ascii="Garamond" w:eastAsia="Calibri" w:hAnsi="Garamond" w:cs="Times New Roman"/>
          <w:iCs/>
          <w:sz w:val="23"/>
          <w:szCs w:val="23"/>
        </w:rPr>
      </w:pPr>
      <w:r w:rsidRPr="00D86DC5">
        <w:rPr>
          <w:rFonts w:ascii="Garamond" w:eastAsia="Calibri" w:hAnsi="Garamond" w:cs="Times New Roman"/>
          <w:iCs/>
          <w:sz w:val="23"/>
          <w:szCs w:val="23"/>
        </w:rPr>
        <w:t xml:space="preserve">In particolare, le attività svolte dall’organizzazione pubblica </w:t>
      </w:r>
      <w:bookmarkStart w:id="8" w:name="_Hlk101547231"/>
      <w:r w:rsidR="002A4E5C" w:rsidRPr="0008029D">
        <w:rPr>
          <w:rFonts w:ascii="Garamond" w:eastAsia="Calibri" w:hAnsi="Garamond" w:cs="Times New Roman"/>
          <w:iCs/>
          <w:sz w:val="23"/>
          <w:szCs w:val="23"/>
        </w:rPr>
        <w:t>in materia di anticorruzione e trasparenza</w:t>
      </w:r>
      <w:r w:rsidR="001431C5" w:rsidRPr="0008029D">
        <w:rPr>
          <w:rFonts w:ascii="Garamond" w:eastAsia="Calibri" w:hAnsi="Garamond" w:cs="Times New Roman"/>
          <w:iCs/>
          <w:sz w:val="23"/>
          <w:szCs w:val="23"/>
        </w:rPr>
        <w:t xml:space="preserve"> </w:t>
      </w:r>
      <w:bookmarkEnd w:id="8"/>
      <w:r w:rsidRPr="0008029D">
        <w:rPr>
          <w:rFonts w:ascii="Garamond" w:eastAsia="Calibri" w:hAnsi="Garamond" w:cs="Times New Roman"/>
          <w:iCs/>
          <w:sz w:val="23"/>
          <w:szCs w:val="23"/>
        </w:rPr>
        <w:t xml:space="preserve">vanno inserite, così come conferma l’ANAC, sotto forma di obiettivi </w:t>
      </w:r>
      <w:r w:rsidR="002A4E5C" w:rsidRPr="0008029D">
        <w:rPr>
          <w:rFonts w:ascii="Garamond" w:eastAsia="Calibri" w:hAnsi="Garamond" w:cs="Times New Roman"/>
          <w:iCs/>
          <w:sz w:val="23"/>
          <w:szCs w:val="23"/>
        </w:rPr>
        <w:t>in ambito di</w:t>
      </w:r>
      <w:r w:rsidRPr="00D86DC5">
        <w:rPr>
          <w:rFonts w:ascii="Garamond" w:eastAsia="Calibri" w:hAnsi="Garamond" w:cs="Times New Roman"/>
          <w:iCs/>
          <w:sz w:val="23"/>
          <w:szCs w:val="23"/>
        </w:rPr>
        <w:t xml:space="preserve"> </w:t>
      </w:r>
      <w:r w:rsidR="002A4E5C" w:rsidRPr="0008029D">
        <w:rPr>
          <w:rFonts w:ascii="Garamond" w:eastAsia="Calibri" w:hAnsi="Garamond" w:cs="Times New Roman"/>
          <w:i/>
          <w:iCs/>
          <w:sz w:val="23"/>
          <w:szCs w:val="23"/>
        </w:rPr>
        <w:t>p</w:t>
      </w:r>
      <w:r w:rsidRPr="0008029D">
        <w:rPr>
          <w:rFonts w:ascii="Garamond" w:eastAsia="Calibri" w:hAnsi="Garamond" w:cs="Times New Roman"/>
          <w:i/>
          <w:iCs/>
          <w:sz w:val="23"/>
          <w:szCs w:val="23"/>
        </w:rPr>
        <w:t>erformance</w:t>
      </w:r>
      <w:r w:rsidRPr="00D86DC5">
        <w:rPr>
          <w:rFonts w:ascii="Garamond" w:eastAsia="Calibri" w:hAnsi="Garamond" w:cs="Times New Roman"/>
          <w:iCs/>
          <w:sz w:val="23"/>
          <w:szCs w:val="23"/>
        </w:rPr>
        <w:t xml:space="preserve">, sotto la duplice forma di obiettivi di </w:t>
      </w:r>
      <w:r w:rsidRPr="0008029D">
        <w:rPr>
          <w:rFonts w:ascii="Garamond" w:eastAsia="Calibri" w:hAnsi="Garamond" w:cs="Times New Roman"/>
          <w:i/>
          <w:iCs/>
          <w:sz w:val="23"/>
          <w:szCs w:val="23"/>
        </w:rPr>
        <w:t>performance</w:t>
      </w:r>
      <w:r w:rsidRPr="00D86DC5">
        <w:rPr>
          <w:rFonts w:ascii="Garamond" w:eastAsia="Calibri" w:hAnsi="Garamond" w:cs="Times New Roman"/>
          <w:iCs/>
          <w:sz w:val="23"/>
          <w:szCs w:val="23"/>
        </w:rPr>
        <w:t xml:space="preserve"> organizzativa (art. 8 del d.lgs. 150/2009 no</w:t>
      </w:r>
      <w:r w:rsidR="00782EB2" w:rsidRPr="00D86DC5">
        <w:rPr>
          <w:rFonts w:ascii="Garamond" w:eastAsia="Calibri" w:hAnsi="Garamond" w:cs="Times New Roman"/>
          <w:iCs/>
          <w:sz w:val="23"/>
          <w:szCs w:val="23"/>
        </w:rPr>
        <w:t xml:space="preserve">vellato dal </w:t>
      </w:r>
      <w:proofErr w:type="spellStart"/>
      <w:proofErr w:type="gramStart"/>
      <w:r w:rsidR="00782EB2" w:rsidRPr="00D86DC5">
        <w:rPr>
          <w:rFonts w:ascii="Garamond" w:eastAsia="Calibri" w:hAnsi="Garamond" w:cs="Times New Roman"/>
          <w:iCs/>
          <w:sz w:val="23"/>
          <w:szCs w:val="23"/>
        </w:rPr>
        <w:t>D.Lgs</w:t>
      </w:r>
      <w:proofErr w:type="gramEnd"/>
      <w:r w:rsidR="00782EB2" w:rsidRPr="00D86DC5">
        <w:rPr>
          <w:rFonts w:ascii="Garamond" w:eastAsia="Calibri" w:hAnsi="Garamond" w:cs="Times New Roman"/>
          <w:iCs/>
          <w:sz w:val="23"/>
          <w:szCs w:val="23"/>
        </w:rPr>
        <w:t>.</w:t>
      </w:r>
      <w:proofErr w:type="spellEnd"/>
      <w:r w:rsidR="00782EB2" w:rsidRPr="00D86DC5">
        <w:rPr>
          <w:rFonts w:ascii="Garamond" w:eastAsia="Calibri" w:hAnsi="Garamond" w:cs="Times New Roman"/>
          <w:iCs/>
          <w:sz w:val="23"/>
          <w:szCs w:val="23"/>
        </w:rPr>
        <w:t xml:space="preserve"> </w:t>
      </w:r>
      <w:r w:rsidR="00EF46F3" w:rsidRPr="00D86DC5">
        <w:rPr>
          <w:rFonts w:ascii="Garamond" w:eastAsia="Calibri" w:hAnsi="Garamond" w:cs="Times New Roman"/>
          <w:iCs/>
          <w:sz w:val="23"/>
          <w:szCs w:val="23"/>
        </w:rPr>
        <w:t xml:space="preserve">74/2017) </w:t>
      </w:r>
      <w:r w:rsidRPr="00D86DC5">
        <w:rPr>
          <w:rFonts w:ascii="Garamond" w:eastAsia="Calibri" w:hAnsi="Garamond" w:cs="Times New Roman"/>
          <w:iCs/>
          <w:sz w:val="23"/>
          <w:szCs w:val="23"/>
        </w:rPr>
        <w:t xml:space="preserve">e di </w:t>
      </w:r>
      <w:r w:rsidRPr="0008029D">
        <w:rPr>
          <w:rFonts w:ascii="Garamond" w:eastAsia="Calibri" w:hAnsi="Garamond" w:cs="Times New Roman"/>
          <w:i/>
          <w:iCs/>
          <w:sz w:val="23"/>
          <w:szCs w:val="23"/>
        </w:rPr>
        <w:t>performance</w:t>
      </w:r>
      <w:r w:rsidRPr="00D86DC5">
        <w:rPr>
          <w:rFonts w:ascii="Garamond" w:eastAsia="Calibri" w:hAnsi="Garamond" w:cs="Times New Roman"/>
          <w:iCs/>
          <w:sz w:val="23"/>
          <w:szCs w:val="23"/>
        </w:rPr>
        <w:t xml:space="preserve"> individuale (art. 9 del d.lgs. 150/2009 novellato dal </w:t>
      </w:r>
      <w:proofErr w:type="spellStart"/>
      <w:proofErr w:type="gramStart"/>
      <w:r w:rsidRPr="00D86DC5">
        <w:rPr>
          <w:rFonts w:ascii="Garamond" w:eastAsia="Calibri" w:hAnsi="Garamond" w:cs="Times New Roman"/>
          <w:iCs/>
          <w:sz w:val="23"/>
          <w:szCs w:val="23"/>
        </w:rPr>
        <w:t>D.Lgs</w:t>
      </w:r>
      <w:proofErr w:type="gramEnd"/>
      <w:r w:rsidR="00782EB2" w:rsidRPr="00D86DC5">
        <w:rPr>
          <w:rFonts w:ascii="Garamond" w:eastAsia="Calibri" w:hAnsi="Garamond" w:cs="Times New Roman"/>
          <w:iCs/>
          <w:sz w:val="23"/>
          <w:szCs w:val="23"/>
        </w:rPr>
        <w:t>.</w:t>
      </w:r>
      <w:proofErr w:type="spellEnd"/>
      <w:r w:rsidR="00782EB2" w:rsidRPr="00D86DC5">
        <w:rPr>
          <w:rFonts w:ascii="Garamond" w:eastAsia="Calibri" w:hAnsi="Garamond" w:cs="Times New Roman"/>
          <w:iCs/>
          <w:sz w:val="23"/>
          <w:szCs w:val="23"/>
        </w:rPr>
        <w:t xml:space="preserve"> </w:t>
      </w:r>
      <w:r w:rsidRPr="00D86DC5">
        <w:rPr>
          <w:rFonts w:ascii="Garamond" w:eastAsia="Calibri" w:hAnsi="Garamond" w:cs="Times New Roman"/>
          <w:iCs/>
          <w:sz w:val="23"/>
          <w:szCs w:val="23"/>
        </w:rPr>
        <w:t>74/2017).</w:t>
      </w:r>
    </w:p>
    <w:p w14:paraId="78A78DF7" w14:textId="459A2C1A" w:rsidR="00855BFA" w:rsidRPr="00D86DC5" w:rsidRDefault="001605C5" w:rsidP="00582EFE">
      <w:pPr>
        <w:autoSpaceDE w:val="0"/>
        <w:autoSpaceDN w:val="0"/>
        <w:adjustRightInd w:val="0"/>
        <w:spacing w:after="0" w:line="276" w:lineRule="auto"/>
        <w:ind w:right="-1"/>
        <w:jc w:val="both"/>
        <w:rPr>
          <w:rFonts w:ascii="Garamond" w:eastAsia="Calibri" w:hAnsi="Garamond" w:cs="Times New Roman"/>
          <w:iCs/>
          <w:sz w:val="23"/>
          <w:szCs w:val="23"/>
        </w:rPr>
      </w:pPr>
      <w:r w:rsidRPr="00D86DC5">
        <w:rPr>
          <w:rFonts w:ascii="Garamond" w:eastAsia="Calibri" w:hAnsi="Garamond" w:cs="Times New Roman"/>
          <w:iCs/>
          <w:sz w:val="23"/>
          <w:szCs w:val="23"/>
        </w:rPr>
        <w:t>P</w:t>
      </w:r>
      <w:r w:rsidR="00855BFA" w:rsidRPr="00D86DC5">
        <w:rPr>
          <w:rFonts w:ascii="Garamond" w:eastAsia="Calibri" w:hAnsi="Garamond" w:cs="Times New Roman"/>
          <w:iCs/>
          <w:sz w:val="23"/>
          <w:szCs w:val="23"/>
        </w:rPr>
        <w:t xml:space="preserve">er quanto riguarda la </w:t>
      </w:r>
      <w:r w:rsidR="00855BFA" w:rsidRPr="0008029D">
        <w:rPr>
          <w:rFonts w:ascii="Garamond" w:eastAsia="Calibri" w:hAnsi="Garamond" w:cs="Times New Roman"/>
          <w:i/>
          <w:iCs/>
          <w:sz w:val="23"/>
          <w:szCs w:val="23"/>
        </w:rPr>
        <w:t>pe</w:t>
      </w:r>
      <w:r w:rsidR="002E24FD" w:rsidRPr="0008029D">
        <w:rPr>
          <w:rFonts w:ascii="Garamond" w:eastAsia="Calibri" w:hAnsi="Garamond" w:cs="Times New Roman"/>
          <w:i/>
          <w:iCs/>
          <w:sz w:val="23"/>
          <w:szCs w:val="23"/>
        </w:rPr>
        <w:t>rformance</w:t>
      </w:r>
      <w:r w:rsidR="002E24FD" w:rsidRPr="00D86DC5">
        <w:rPr>
          <w:rFonts w:ascii="Garamond" w:eastAsia="Calibri" w:hAnsi="Garamond" w:cs="Times New Roman"/>
          <w:iCs/>
          <w:sz w:val="23"/>
          <w:szCs w:val="23"/>
        </w:rPr>
        <w:t xml:space="preserve"> organizzativa (</w:t>
      </w:r>
      <w:r w:rsidR="00855BFA" w:rsidRPr="00D86DC5">
        <w:rPr>
          <w:rFonts w:ascii="Garamond" w:eastAsia="Calibri" w:hAnsi="Garamond" w:cs="Times New Roman"/>
          <w:iCs/>
          <w:sz w:val="23"/>
          <w:szCs w:val="23"/>
        </w:rPr>
        <w:t>art.</w:t>
      </w:r>
      <w:r w:rsidR="0008029D">
        <w:rPr>
          <w:rFonts w:ascii="Garamond" w:eastAsia="Calibri" w:hAnsi="Garamond" w:cs="Times New Roman"/>
          <w:iCs/>
          <w:sz w:val="23"/>
          <w:szCs w:val="23"/>
        </w:rPr>
        <w:t xml:space="preserve"> </w:t>
      </w:r>
      <w:r w:rsidR="00855BFA" w:rsidRPr="00D86DC5">
        <w:rPr>
          <w:rFonts w:ascii="Garamond" w:eastAsia="Calibri" w:hAnsi="Garamond" w:cs="Times New Roman"/>
          <w:iCs/>
          <w:sz w:val="23"/>
          <w:szCs w:val="23"/>
        </w:rPr>
        <w:t xml:space="preserve">8 del </w:t>
      </w:r>
      <w:proofErr w:type="spellStart"/>
      <w:proofErr w:type="gramStart"/>
      <w:r w:rsidR="00855BFA" w:rsidRPr="00D86DC5">
        <w:rPr>
          <w:rFonts w:ascii="Garamond" w:eastAsia="Calibri" w:hAnsi="Garamond" w:cs="Times New Roman"/>
          <w:iCs/>
          <w:sz w:val="23"/>
          <w:szCs w:val="23"/>
        </w:rPr>
        <w:t>D.Lgs</w:t>
      </w:r>
      <w:proofErr w:type="gramEnd"/>
      <w:r w:rsidR="00F80B34" w:rsidRPr="00D86DC5">
        <w:rPr>
          <w:rFonts w:ascii="Garamond" w:eastAsia="Calibri" w:hAnsi="Garamond" w:cs="Times New Roman"/>
          <w:iCs/>
          <w:sz w:val="23"/>
          <w:szCs w:val="23"/>
        </w:rPr>
        <w:t>.</w:t>
      </w:r>
      <w:proofErr w:type="spellEnd"/>
      <w:r w:rsidR="00855BFA" w:rsidRPr="00D86DC5">
        <w:rPr>
          <w:rFonts w:ascii="Garamond" w:eastAsia="Calibri" w:hAnsi="Garamond" w:cs="Times New Roman"/>
          <w:iCs/>
          <w:sz w:val="23"/>
          <w:szCs w:val="23"/>
        </w:rPr>
        <w:t xml:space="preserve"> 150/2009), le amministrazioni devono inserire nei piani </w:t>
      </w:r>
      <w:r w:rsidR="00855BFA" w:rsidRPr="0008029D">
        <w:rPr>
          <w:rFonts w:ascii="Garamond" w:eastAsia="Calibri" w:hAnsi="Garamond" w:cs="Times New Roman"/>
          <w:iCs/>
          <w:sz w:val="23"/>
          <w:szCs w:val="23"/>
        </w:rPr>
        <w:t xml:space="preserve">delle </w:t>
      </w:r>
      <w:r w:rsidR="00855BFA" w:rsidRPr="0008029D">
        <w:rPr>
          <w:rFonts w:ascii="Garamond" w:eastAsia="Calibri" w:hAnsi="Garamond" w:cs="Times New Roman"/>
          <w:i/>
          <w:iCs/>
          <w:sz w:val="23"/>
          <w:szCs w:val="23"/>
        </w:rPr>
        <w:t>performance</w:t>
      </w:r>
      <w:r w:rsidR="00855BFA" w:rsidRPr="00D86DC5">
        <w:rPr>
          <w:rFonts w:ascii="Garamond" w:eastAsia="Calibri" w:hAnsi="Garamond" w:cs="Times New Roman"/>
          <w:iCs/>
          <w:sz w:val="23"/>
          <w:szCs w:val="23"/>
        </w:rPr>
        <w:t xml:space="preserve"> obiettivi</w:t>
      </w:r>
      <w:r w:rsidRPr="00D86DC5">
        <w:rPr>
          <w:rFonts w:ascii="Garamond" w:eastAsia="Calibri" w:hAnsi="Garamond" w:cs="Times New Roman"/>
          <w:iCs/>
          <w:sz w:val="23"/>
          <w:szCs w:val="23"/>
        </w:rPr>
        <w:t xml:space="preserve"> </w:t>
      </w:r>
      <w:r w:rsidR="00855BFA" w:rsidRPr="00D86DC5">
        <w:rPr>
          <w:rFonts w:ascii="Garamond" w:eastAsia="Calibri" w:hAnsi="Garamond" w:cs="Times New Roman"/>
          <w:iCs/>
          <w:sz w:val="23"/>
          <w:szCs w:val="23"/>
        </w:rPr>
        <w:t>correlati all’attuazione dei piani e delle misure di prevenzione della corruzione, misurando l’effettivo grado di attuazione degli stessi</w:t>
      </w:r>
      <w:r w:rsidRPr="00D86DC5">
        <w:rPr>
          <w:rFonts w:ascii="Garamond" w:eastAsia="Calibri" w:hAnsi="Garamond" w:cs="Times New Roman"/>
          <w:iCs/>
          <w:sz w:val="23"/>
          <w:szCs w:val="23"/>
        </w:rPr>
        <w:t>, e</w:t>
      </w:r>
      <w:r w:rsidR="00855BFA" w:rsidRPr="00D86DC5">
        <w:rPr>
          <w:rFonts w:ascii="Garamond" w:eastAsia="Calibri" w:hAnsi="Garamond" w:cs="Times New Roman"/>
          <w:iCs/>
          <w:sz w:val="23"/>
          <w:szCs w:val="23"/>
        </w:rPr>
        <w:t xml:space="preserve"> prevedere obiettivi correlati all’incremento delle relazioni (dal punto vista quantitativo e qualitativo) con gli </w:t>
      </w:r>
      <w:proofErr w:type="spellStart"/>
      <w:r w:rsidR="00855BFA" w:rsidRPr="00D86DC5">
        <w:rPr>
          <w:rFonts w:ascii="Garamond" w:eastAsia="Calibri" w:hAnsi="Garamond" w:cs="Times New Roman"/>
          <w:iCs/>
          <w:sz w:val="23"/>
          <w:szCs w:val="23"/>
        </w:rPr>
        <w:t>stakeholders</w:t>
      </w:r>
      <w:proofErr w:type="spellEnd"/>
      <w:r w:rsidR="00855BFA" w:rsidRPr="00D86DC5">
        <w:rPr>
          <w:rFonts w:ascii="Garamond" w:eastAsia="Calibri" w:hAnsi="Garamond" w:cs="Times New Roman"/>
          <w:iCs/>
          <w:sz w:val="23"/>
          <w:szCs w:val="23"/>
        </w:rPr>
        <w:t xml:space="preserve"> di riferimento (cittadini, utenti e i destinatari dei servizi), anche mediante lo sviluppo di forme di partecipazione, collaborazione e ricerca di feedback strutturati sui servizi erogati.</w:t>
      </w:r>
    </w:p>
    <w:p w14:paraId="24526189" w14:textId="3BEC37EC" w:rsidR="00855BFA" w:rsidRPr="00983E3D" w:rsidRDefault="0008029D" w:rsidP="00582EFE">
      <w:pPr>
        <w:autoSpaceDE w:val="0"/>
        <w:autoSpaceDN w:val="0"/>
        <w:adjustRightInd w:val="0"/>
        <w:spacing w:after="0" w:line="276" w:lineRule="auto"/>
        <w:ind w:right="-1"/>
        <w:jc w:val="both"/>
        <w:rPr>
          <w:rFonts w:ascii="Garamond" w:eastAsia="Calibri" w:hAnsi="Garamond" w:cs="Times New Roman"/>
          <w:iCs/>
          <w:sz w:val="23"/>
          <w:szCs w:val="23"/>
        </w:rPr>
      </w:pPr>
      <w:r w:rsidRPr="00983E3D">
        <w:rPr>
          <w:rFonts w:ascii="Garamond" w:eastAsia="Calibri" w:hAnsi="Garamond" w:cs="Times New Roman"/>
          <w:iCs/>
          <w:sz w:val="23"/>
          <w:szCs w:val="23"/>
        </w:rPr>
        <w:t>P</w:t>
      </w:r>
      <w:r w:rsidR="00855BFA" w:rsidRPr="00983E3D">
        <w:rPr>
          <w:rFonts w:ascii="Garamond" w:eastAsia="Calibri" w:hAnsi="Garamond" w:cs="Times New Roman"/>
          <w:iCs/>
          <w:sz w:val="23"/>
          <w:szCs w:val="23"/>
        </w:rPr>
        <w:t xml:space="preserve">er rafforzare il collegamento e la reale integrazione </w:t>
      </w:r>
      <w:r w:rsidR="009508CD" w:rsidRPr="00983E3D">
        <w:rPr>
          <w:rFonts w:ascii="Garamond" w:eastAsia="Calibri" w:hAnsi="Garamond" w:cs="Times New Roman"/>
          <w:iCs/>
          <w:sz w:val="23"/>
          <w:szCs w:val="23"/>
        </w:rPr>
        <w:t>con la performance organizzativa</w:t>
      </w:r>
      <w:r w:rsidR="00855BFA" w:rsidRPr="00983E3D">
        <w:rPr>
          <w:rFonts w:ascii="Garamond" w:eastAsia="Calibri" w:hAnsi="Garamond" w:cs="Times New Roman"/>
          <w:iCs/>
          <w:sz w:val="23"/>
          <w:szCs w:val="23"/>
        </w:rPr>
        <w:t xml:space="preserve">, sarebbe opportuno </w:t>
      </w:r>
      <w:r w:rsidRPr="00983E3D">
        <w:rPr>
          <w:rFonts w:ascii="Garamond" w:eastAsia="Calibri" w:hAnsi="Garamond" w:cs="Times New Roman"/>
          <w:iCs/>
          <w:sz w:val="23"/>
          <w:szCs w:val="23"/>
        </w:rPr>
        <w:t xml:space="preserve">che </w:t>
      </w:r>
      <w:r w:rsidR="00DD1A5C" w:rsidRPr="00983E3D">
        <w:rPr>
          <w:rFonts w:ascii="Garamond" w:eastAsia="Calibri" w:hAnsi="Garamond" w:cs="Times New Roman"/>
          <w:iCs/>
          <w:sz w:val="23"/>
          <w:szCs w:val="23"/>
        </w:rPr>
        <w:t xml:space="preserve">gli obiettivi di </w:t>
      </w:r>
      <w:r w:rsidR="00DD1A5C" w:rsidRPr="00983E3D">
        <w:rPr>
          <w:rFonts w:ascii="Garamond" w:eastAsia="Calibri" w:hAnsi="Garamond" w:cs="Times New Roman"/>
          <w:i/>
          <w:iCs/>
          <w:sz w:val="23"/>
          <w:szCs w:val="23"/>
        </w:rPr>
        <w:t>performance</w:t>
      </w:r>
      <w:r w:rsidR="00DD1A5C" w:rsidRPr="00983E3D">
        <w:rPr>
          <w:rFonts w:ascii="Garamond" w:eastAsia="Calibri" w:hAnsi="Garamond" w:cs="Times New Roman"/>
          <w:iCs/>
          <w:sz w:val="23"/>
          <w:szCs w:val="23"/>
        </w:rPr>
        <w:t xml:space="preserve"> relativi all’anticorruzione e alla trasparenza fossero </w:t>
      </w:r>
      <w:r w:rsidR="00CD0455" w:rsidRPr="00983E3D">
        <w:rPr>
          <w:rFonts w:ascii="Garamond" w:eastAsia="Calibri" w:hAnsi="Garamond" w:cs="Times New Roman"/>
          <w:iCs/>
          <w:sz w:val="23"/>
          <w:szCs w:val="23"/>
        </w:rPr>
        <w:t xml:space="preserve">ulteriormente </w:t>
      </w:r>
      <w:r w:rsidR="00DD1A5C" w:rsidRPr="00983E3D">
        <w:rPr>
          <w:rFonts w:ascii="Garamond" w:eastAsia="Calibri" w:hAnsi="Garamond" w:cs="Times New Roman"/>
          <w:iCs/>
          <w:sz w:val="23"/>
          <w:szCs w:val="23"/>
        </w:rPr>
        <w:t>valorizzati</w:t>
      </w:r>
      <w:r w:rsidR="00CD0455" w:rsidRPr="00983E3D">
        <w:rPr>
          <w:rFonts w:ascii="Garamond" w:eastAsia="Calibri" w:hAnsi="Garamond" w:cs="Times New Roman"/>
          <w:iCs/>
          <w:sz w:val="23"/>
          <w:szCs w:val="23"/>
        </w:rPr>
        <w:t xml:space="preserve"> e rafforzati</w:t>
      </w:r>
      <w:r w:rsidR="00855BFA" w:rsidRPr="00983E3D">
        <w:rPr>
          <w:rFonts w:ascii="Garamond" w:eastAsia="Calibri" w:hAnsi="Garamond" w:cs="Times New Roman"/>
          <w:iCs/>
          <w:sz w:val="23"/>
          <w:szCs w:val="23"/>
        </w:rPr>
        <w:t>.</w:t>
      </w:r>
    </w:p>
    <w:p w14:paraId="0C84B6C9" w14:textId="2BBEC50D" w:rsidR="00FB7FB2" w:rsidRPr="00033905" w:rsidRDefault="00FB7FB2" w:rsidP="00FB7FB2">
      <w:pPr>
        <w:pStyle w:val="Default"/>
        <w:spacing w:line="276" w:lineRule="auto"/>
        <w:ind w:right="-1"/>
        <w:jc w:val="both"/>
        <w:rPr>
          <w:rFonts w:cs="Times New Roman"/>
          <w:color w:val="auto"/>
          <w:sz w:val="23"/>
          <w:szCs w:val="23"/>
        </w:rPr>
      </w:pPr>
      <w:r w:rsidRPr="00033905">
        <w:rPr>
          <w:rFonts w:cs="Times New Roman"/>
          <w:color w:val="auto"/>
          <w:sz w:val="23"/>
          <w:szCs w:val="23"/>
        </w:rPr>
        <w:t xml:space="preserve">In questo senso, è auspicabile che le attività svolte dall’amministrazione per la predisposizione, l’implementazione e l’attuazione delle misure di prevenzione della corruzione vengano introdotte in forma di obiettivi di </w:t>
      </w:r>
      <w:r w:rsidRPr="00033905">
        <w:rPr>
          <w:rFonts w:cs="Times New Roman"/>
          <w:i/>
          <w:color w:val="auto"/>
          <w:sz w:val="23"/>
          <w:szCs w:val="23"/>
        </w:rPr>
        <w:t>performance</w:t>
      </w:r>
      <w:r w:rsidRPr="00033905">
        <w:rPr>
          <w:rFonts w:cs="Times New Roman"/>
          <w:color w:val="FF0000"/>
          <w:sz w:val="23"/>
          <w:szCs w:val="23"/>
        </w:rPr>
        <w:t xml:space="preserve">. </w:t>
      </w:r>
      <w:r w:rsidRPr="00033905">
        <w:rPr>
          <w:rFonts w:cs="Times New Roman"/>
          <w:color w:val="auto"/>
          <w:sz w:val="23"/>
          <w:szCs w:val="23"/>
        </w:rPr>
        <w:t xml:space="preserve">Rispetto a questi ultimi, potranno essere definiti indicatori specifici in grado di esprimere la qualità dell’attuazione delle stesse misure. </w:t>
      </w:r>
      <w:r w:rsidR="00853253" w:rsidRPr="00033905">
        <w:rPr>
          <w:rFonts w:cs="Times New Roman"/>
          <w:color w:val="auto"/>
          <w:sz w:val="23"/>
          <w:szCs w:val="23"/>
        </w:rPr>
        <w:t>In particolare, n</w:t>
      </w:r>
      <w:r w:rsidRPr="00033905">
        <w:rPr>
          <w:rFonts w:cs="Times New Roman"/>
          <w:color w:val="auto"/>
          <w:sz w:val="23"/>
          <w:szCs w:val="23"/>
        </w:rPr>
        <w:t xml:space="preserve">el </w:t>
      </w:r>
      <w:r w:rsidR="00853253" w:rsidRPr="00033905">
        <w:rPr>
          <w:rFonts w:cs="Times New Roman"/>
          <w:color w:val="auto"/>
          <w:sz w:val="23"/>
          <w:szCs w:val="23"/>
        </w:rPr>
        <w:t xml:space="preserve">PNA 2022 (approvato dal Consiglio dell'ANAC il 16 novembre 2022) </w:t>
      </w:r>
      <w:r w:rsidRPr="00033905">
        <w:rPr>
          <w:rFonts w:cs="Times New Roman"/>
          <w:color w:val="auto"/>
          <w:sz w:val="23"/>
          <w:szCs w:val="23"/>
        </w:rPr>
        <w:t>l’ANAC ha raccomandato che le amministrazioni:</w:t>
      </w:r>
    </w:p>
    <w:p w14:paraId="5A64F178" w14:textId="77777777" w:rsidR="00FB7FB2" w:rsidRPr="00033905" w:rsidRDefault="00FB7FB2" w:rsidP="00FB7FB2">
      <w:pPr>
        <w:pStyle w:val="Default"/>
        <w:spacing w:line="276" w:lineRule="auto"/>
        <w:ind w:right="-1"/>
        <w:jc w:val="both"/>
        <w:rPr>
          <w:rFonts w:cs="Times New Roman"/>
          <w:color w:val="auto"/>
          <w:sz w:val="23"/>
          <w:szCs w:val="23"/>
        </w:rPr>
      </w:pPr>
      <w:r w:rsidRPr="00033905">
        <w:rPr>
          <w:rFonts w:cs="Times New Roman"/>
          <w:color w:val="auto"/>
          <w:sz w:val="23"/>
          <w:szCs w:val="23"/>
        </w:rPr>
        <w:lastRenderedPageBreak/>
        <w:t>a) si concentrino sui processi che implichino la gestione da parte dell’Amministrazione Regionale, quale soggetto attuatore, di risorse finanziarie a valere sul PNRR, sul PNC e sui fondi strutturali;</w:t>
      </w:r>
    </w:p>
    <w:p w14:paraId="6D906820" w14:textId="77777777" w:rsidR="00FB7FB2" w:rsidRPr="00033905" w:rsidRDefault="00FB7FB2" w:rsidP="00FB7FB2">
      <w:pPr>
        <w:pStyle w:val="Default"/>
        <w:spacing w:line="276" w:lineRule="auto"/>
        <w:ind w:right="-1"/>
        <w:jc w:val="both"/>
        <w:rPr>
          <w:rFonts w:cs="Times New Roman"/>
          <w:color w:val="auto"/>
          <w:sz w:val="23"/>
          <w:szCs w:val="23"/>
        </w:rPr>
      </w:pPr>
      <w:r w:rsidRPr="00033905">
        <w:rPr>
          <w:rFonts w:cs="Times New Roman"/>
          <w:color w:val="auto"/>
          <w:sz w:val="23"/>
          <w:szCs w:val="23"/>
        </w:rPr>
        <w:t xml:space="preserve">b) rafforzino la sinergia fra </w:t>
      </w:r>
      <w:r w:rsidRPr="00033905">
        <w:rPr>
          <w:rFonts w:cs="Times New Roman"/>
          <w:i/>
          <w:iCs/>
          <w:color w:val="auto"/>
          <w:sz w:val="23"/>
          <w:szCs w:val="23"/>
        </w:rPr>
        <w:t>performance</w:t>
      </w:r>
      <w:r w:rsidRPr="00033905">
        <w:rPr>
          <w:rFonts w:cs="Times New Roman"/>
          <w:color w:val="auto"/>
          <w:sz w:val="23"/>
          <w:szCs w:val="23"/>
        </w:rPr>
        <w:t xml:space="preserve"> e misure di prevenzione della corruzione e per la trasparenza nella logica di integrazione indicata.</w:t>
      </w:r>
    </w:p>
    <w:p w14:paraId="57F7842B" w14:textId="77777777" w:rsidR="00FB7FB2" w:rsidRPr="00033905" w:rsidRDefault="00FB7FB2" w:rsidP="00FB7FB2">
      <w:pPr>
        <w:autoSpaceDE w:val="0"/>
        <w:autoSpaceDN w:val="0"/>
        <w:adjustRightInd w:val="0"/>
        <w:spacing w:after="0" w:line="276" w:lineRule="auto"/>
        <w:ind w:right="-1"/>
        <w:jc w:val="both"/>
        <w:rPr>
          <w:rFonts w:ascii="Garamond" w:hAnsi="Garamond" w:cs="Times New Roman"/>
          <w:sz w:val="23"/>
          <w:szCs w:val="23"/>
        </w:rPr>
      </w:pPr>
      <w:r w:rsidRPr="00033905">
        <w:rPr>
          <w:rFonts w:ascii="Garamond" w:hAnsi="Garamond" w:cs="Times New Roman"/>
          <w:sz w:val="23"/>
          <w:szCs w:val="23"/>
        </w:rPr>
        <w:t>Per realizzare quanto sopra sarebbe opportuno prevedere, per i processi in cui sono gestite risorse pubbliche, obiettivi di performance e che, più in generale, gli obiettivi di performance riguardino aree e attività ad alto rischio di corruzione. Questi ultimi processi sono quelli che si caratterizzano per:</w:t>
      </w:r>
    </w:p>
    <w:p w14:paraId="4D9638DE" w14:textId="77777777" w:rsidR="00FB7FB2" w:rsidRPr="00033905" w:rsidRDefault="00FB7FB2" w:rsidP="00FB7FB2">
      <w:pPr>
        <w:numPr>
          <w:ilvl w:val="0"/>
          <w:numId w:val="33"/>
        </w:numPr>
        <w:autoSpaceDE w:val="0"/>
        <w:autoSpaceDN w:val="0"/>
        <w:adjustRightInd w:val="0"/>
        <w:spacing w:after="0" w:line="276" w:lineRule="auto"/>
        <w:ind w:left="426" w:right="-1"/>
        <w:jc w:val="both"/>
        <w:rPr>
          <w:rFonts w:ascii="Garamond" w:hAnsi="Garamond" w:cs="Times New Roman"/>
          <w:sz w:val="23"/>
          <w:szCs w:val="23"/>
        </w:rPr>
      </w:pPr>
      <w:r w:rsidRPr="00033905">
        <w:rPr>
          <w:rFonts w:ascii="Garamond" w:hAnsi="Garamond" w:cs="Times New Roman"/>
          <w:sz w:val="23"/>
          <w:szCs w:val="23"/>
        </w:rPr>
        <w:t>l’ampio livello di discrezionalità di cui gode l’amministrazione (in tal senso possono essere ricompresi quelli che afferiscono a quelle aree che la legge n. 190/2012 ritiene essere a rischio generale quali autorizzazioni o concessioni, concorsi e prove selettive per l’assunzione del personale e progressioni di carriera oltre ad altri processi afferenti ad aree di rischio specifiche);</w:t>
      </w:r>
    </w:p>
    <w:p w14:paraId="17106EEC" w14:textId="77777777" w:rsidR="00FB7FB2" w:rsidRPr="00033905" w:rsidRDefault="00FB7FB2" w:rsidP="00FB7FB2">
      <w:pPr>
        <w:numPr>
          <w:ilvl w:val="0"/>
          <w:numId w:val="33"/>
        </w:numPr>
        <w:autoSpaceDE w:val="0"/>
        <w:autoSpaceDN w:val="0"/>
        <w:adjustRightInd w:val="0"/>
        <w:spacing w:after="0" w:line="276" w:lineRule="auto"/>
        <w:ind w:left="426" w:right="-1"/>
        <w:jc w:val="both"/>
        <w:rPr>
          <w:rFonts w:ascii="Garamond" w:hAnsi="Garamond" w:cs="Times New Roman"/>
          <w:sz w:val="23"/>
          <w:szCs w:val="23"/>
        </w:rPr>
      </w:pPr>
      <w:r w:rsidRPr="00033905">
        <w:rPr>
          <w:rFonts w:ascii="Garamond" w:hAnsi="Garamond" w:cs="Times New Roman"/>
          <w:sz w:val="23"/>
          <w:szCs w:val="23"/>
        </w:rPr>
        <w:t>il notevole impatto socio economico rivestito anche in relazione alla gestione di risorse finanziarie (a cui vanno ricondotti i processi relativi ai contratti pubblici e alle erogazioni di sovvenzioni, contributi, sussidi, ausili finanziari, nonché attribuzione di vantaggi economici di qualunque genere a persone ed enti pubblici e privati, oltre ad altri processi afferenti ad aree di rischio specifiche);</w:t>
      </w:r>
    </w:p>
    <w:p w14:paraId="6C7C1824" w14:textId="77777777" w:rsidR="00FB7FB2" w:rsidRPr="00033905" w:rsidRDefault="00FB7FB2" w:rsidP="00FB7FB2">
      <w:pPr>
        <w:numPr>
          <w:ilvl w:val="0"/>
          <w:numId w:val="33"/>
        </w:numPr>
        <w:autoSpaceDE w:val="0"/>
        <w:autoSpaceDN w:val="0"/>
        <w:adjustRightInd w:val="0"/>
        <w:spacing w:after="0" w:line="276" w:lineRule="auto"/>
        <w:ind w:left="426" w:right="-1"/>
        <w:jc w:val="both"/>
        <w:rPr>
          <w:rFonts w:ascii="Garamond" w:hAnsi="Garamond" w:cs="Times New Roman"/>
          <w:sz w:val="23"/>
          <w:szCs w:val="23"/>
        </w:rPr>
      </w:pPr>
      <w:r w:rsidRPr="00033905">
        <w:rPr>
          <w:rFonts w:ascii="Garamond" w:hAnsi="Garamond" w:cs="Times New Roman"/>
          <w:sz w:val="23"/>
          <w:szCs w:val="23"/>
        </w:rPr>
        <w:t>essere risultati ad elevato rischio in relazione a fatti corruttivi pregressi o al monitoraggio svolto dall’amministrazione sui precedenti Piani.</w:t>
      </w:r>
    </w:p>
    <w:p w14:paraId="410090CD" w14:textId="67DA5BFD" w:rsidR="00C44D9C" w:rsidRDefault="000B460E" w:rsidP="00C44D9C">
      <w:pPr>
        <w:autoSpaceDE w:val="0"/>
        <w:autoSpaceDN w:val="0"/>
        <w:adjustRightInd w:val="0"/>
        <w:spacing w:after="0" w:line="276" w:lineRule="auto"/>
        <w:ind w:right="-1"/>
        <w:jc w:val="both"/>
        <w:rPr>
          <w:rFonts w:ascii="Garamond" w:eastAsia="Calibri" w:hAnsi="Garamond" w:cs="Times New Roman"/>
          <w:iCs/>
          <w:sz w:val="23"/>
          <w:szCs w:val="23"/>
        </w:rPr>
      </w:pPr>
      <w:r>
        <w:rPr>
          <w:rFonts w:ascii="Garamond" w:eastAsia="Calibri" w:hAnsi="Garamond" w:cs="Times New Roman"/>
          <w:iCs/>
          <w:sz w:val="23"/>
          <w:szCs w:val="23"/>
        </w:rPr>
        <w:t>P</w:t>
      </w:r>
      <w:r w:rsidR="00855BFA" w:rsidRPr="00D86DC5">
        <w:rPr>
          <w:rFonts w:ascii="Garamond" w:eastAsia="Calibri" w:hAnsi="Garamond" w:cs="Times New Roman"/>
          <w:iCs/>
          <w:sz w:val="23"/>
          <w:szCs w:val="23"/>
        </w:rPr>
        <w:t>er incoraggiare e favorire</w:t>
      </w:r>
      <w:r w:rsidR="00163E4D">
        <w:rPr>
          <w:rFonts w:ascii="Garamond" w:eastAsia="Calibri" w:hAnsi="Garamond" w:cs="Times New Roman"/>
          <w:iCs/>
          <w:sz w:val="23"/>
          <w:szCs w:val="23"/>
        </w:rPr>
        <w:t>,</w:t>
      </w:r>
      <w:r w:rsidR="00855BFA" w:rsidRPr="00D86DC5">
        <w:rPr>
          <w:rFonts w:ascii="Garamond" w:eastAsia="Calibri" w:hAnsi="Garamond" w:cs="Times New Roman"/>
          <w:iCs/>
          <w:sz w:val="23"/>
          <w:szCs w:val="23"/>
        </w:rPr>
        <w:t xml:space="preserve"> </w:t>
      </w:r>
      <w:r>
        <w:rPr>
          <w:rFonts w:ascii="Garamond" w:eastAsia="Calibri" w:hAnsi="Garamond" w:cs="Times New Roman"/>
          <w:iCs/>
          <w:sz w:val="23"/>
          <w:szCs w:val="23"/>
        </w:rPr>
        <w:t>poi</w:t>
      </w:r>
      <w:r w:rsidR="00163E4D">
        <w:rPr>
          <w:rFonts w:ascii="Garamond" w:eastAsia="Calibri" w:hAnsi="Garamond" w:cs="Times New Roman"/>
          <w:iCs/>
          <w:sz w:val="23"/>
          <w:szCs w:val="23"/>
        </w:rPr>
        <w:t>,</w:t>
      </w:r>
      <w:r>
        <w:rPr>
          <w:rFonts w:ascii="Garamond" w:eastAsia="Calibri" w:hAnsi="Garamond" w:cs="Times New Roman"/>
          <w:iCs/>
          <w:sz w:val="23"/>
          <w:szCs w:val="23"/>
        </w:rPr>
        <w:t xml:space="preserve"> la costante e </w:t>
      </w:r>
      <w:r w:rsidR="00855BFA" w:rsidRPr="00D86DC5">
        <w:rPr>
          <w:rFonts w:ascii="Garamond" w:eastAsia="Calibri" w:hAnsi="Garamond" w:cs="Times New Roman"/>
          <w:iCs/>
          <w:sz w:val="23"/>
          <w:szCs w:val="23"/>
        </w:rPr>
        <w:t xml:space="preserve">reale integrazione tra </w:t>
      </w:r>
      <w:r w:rsidRPr="000B460E">
        <w:rPr>
          <w:rFonts w:ascii="Garamond" w:eastAsia="Calibri" w:hAnsi="Garamond" w:cs="Times New Roman"/>
          <w:iCs/>
          <w:sz w:val="23"/>
          <w:szCs w:val="23"/>
        </w:rPr>
        <w:t>performance</w:t>
      </w:r>
      <w:r>
        <w:rPr>
          <w:rFonts w:ascii="Garamond" w:eastAsia="Calibri" w:hAnsi="Garamond" w:cs="Times New Roman"/>
          <w:iCs/>
          <w:sz w:val="23"/>
          <w:szCs w:val="23"/>
        </w:rPr>
        <w:t>,</w:t>
      </w:r>
      <w:r w:rsidRPr="00D86DC5">
        <w:rPr>
          <w:rFonts w:ascii="Garamond" w:eastAsia="Calibri" w:hAnsi="Garamond" w:cs="Times New Roman"/>
          <w:iCs/>
          <w:sz w:val="23"/>
          <w:szCs w:val="23"/>
        </w:rPr>
        <w:t xml:space="preserve"> </w:t>
      </w:r>
      <w:r w:rsidR="00855BFA" w:rsidRPr="000B460E">
        <w:rPr>
          <w:rFonts w:ascii="Garamond" w:eastAsia="Calibri" w:hAnsi="Garamond" w:cs="Times New Roman"/>
          <w:iCs/>
          <w:sz w:val="23"/>
          <w:szCs w:val="23"/>
        </w:rPr>
        <w:t xml:space="preserve">anticorruzione e </w:t>
      </w:r>
      <w:r>
        <w:rPr>
          <w:rFonts w:ascii="Garamond" w:eastAsia="Calibri" w:hAnsi="Garamond" w:cs="Times New Roman"/>
          <w:iCs/>
          <w:sz w:val="23"/>
          <w:szCs w:val="23"/>
        </w:rPr>
        <w:t>trasparenza</w:t>
      </w:r>
      <w:r w:rsidR="00163E4D">
        <w:rPr>
          <w:rFonts w:ascii="Garamond" w:eastAsia="Calibri" w:hAnsi="Garamond" w:cs="Times New Roman"/>
          <w:iCs/>
          <w:sz w:val="23"/>
          <w:szCs w:val="23"/>
        </w:rPr>
        <w:t>,</w:t>
      </w:r>
      <w:r>
        <w:rPr>
          <w:rFonts w:ascii="Garamond" w:eastAsia="Calibri" w:hAnsi="Garamond" w:cs="Times New Roman"/>
          <w:iCs/>
          <w:sz w:val="23"/>
          <w:szCs w:val="23"/>
        </w:rPr>
        <w:t xml:space="preserve"> </w:t>
      </w:r>
      <w:r w:rsidR="00163E4D">
        <w:rPr>
          <w:rFonts w:ascii="Garamond" w:eastAsia="Calibri" w:hAnsi="Garamond" w:cs="Times New Roman"/>
          <w:iCs/>
          <w:sz w:val="23"/>
          <w:szCs w:val="23"/>
        </w:rPr>
        <w:t>è</w:t>
      </w:r>
      <w:r w:rsidR="00855BFA" w:rsidRPr="00D86DC5">
        <w:rPr>
          <w:rFonts w:ascii="Garamond" w:eastAsia="Calibri" w:hAnsi="Garamond" w:cs="Times New Roman"/>
          <w:iCs/>
          <w:sz w:val="23"/>
          <w:szCs w:val="23"/>
        </w:rPr>
        <w:t xml:space="preserve"> indispensabile </w:t>
      </w:r>
      <w:r w:rsidR="00163E4D">
        <w:rPr>
          <w:rFonts w:ascii="Garamond" w:eastAsia="Calibri" w:hAnsi="Garamond" w:cs="Times New Roman"/>
          <w:iCs/>
          <w:sz w:val="23"/>
          <w:szCs w:val="23"/>
        </w:rPr>
        <w:t xml:space="preserve">che l’Amministrazione regionale curi, anche attraverso </w:t>
      </w:r>
      <w:r w:rsidR="00132933">
        <w:rPr>
          <w:rFonts w:ascii="Garamond" w:eastAsia="Calibri" w:hAnsi="Garamond" w:cs="Times New Roman"/>
          <w:iCs/>
          <w:sz w:val="23"/>
          <w:szCs w:val="23"/>
        </w:rPr>
        <w:t>continui</w:t>
      </w:r>
      <w:r w:rsidR="00163E4D">
        <w:rPr>
          <w:rFonts w:ascii="Garamond" w:eastAsia="Calibri" w:hAnsi="Garamond" w:cs="Times New Roman"/>
          <w:iCs/>
          <w:sz w:val="23"/>
          <w:szCs w:val="23"/>
        </w:rPr>
        <w:t xml:space="preserve"> interventi formativi e di aggiornamento, </w:t>
      </w:r>
      <w:r w:rsidR="00855BFA" w:rsidRPr="00D86DC5">
        <w:rPr>
          <w:rFonts w:ascii="Garamond" w:eastAsia="Calibri" w:hAnsi="Garamond" w:cs="Times New Roman"/>
          <w:iCs/>
          <w:sz w:val="23"/>
          <w:szCs w:val="23"/>
        </w:rPr>
        <w:t>i comportamenti organizzativi e professionali</w:t>
      </w:r>
      <w:r w:rsidR="00163E4D">
        <w:rPr>
          <w:rFonts w:ascii="Garamond" w:eastAsia="Calibri" w:hAnsi="Garamond" w:cs="Times New Roman"/>
          <w:iCs/>
          <w:sz w:val="23"/>
          <w:szCs w:val="23"/>
        </w:rPr>
        <w:t xml:space="preserve"> dei dipendenti</w:t>
      </w:r>
      <w:r w:rsidR="00855BFA" w:rsidRPr="00D86DC5">
        <w:rPr>
          <w:rFonts w:ascii="Garamond" w:eastAsia="Calibri" w:hAnsi="Garamond" w:cs="Times New Roman"/>
          <w:iCs/>
          <w:sz w:val="23"/>
          <w:szCs w:val="23"/>
        </w:rPr>
        <w:t xml:space="preserve">, </w:t>
      </w:r>
      <w:r w:rsidR="00163E4D">
        <w:rPr>
          <w:rFonts w:ascii="Garamond" w:eastAsia="Calibri" w:hAnsi="Garamond" w:cs="Times New Roman"/>
          <w:iCs/>
          <w:sz w:val="23"/>
          <w:szCs w:val="23"/>
        </w:rPr>
        <w:t xml:space="preserve">assicurandone anche l’orientamento </w:t>
      </w:r>
      <w:r w:rsidR="00C44D9C" w:rsidRPr="0029268E">
        <w:rPr>
          <w:rFonts w:ascii="Garamond" w:eastAsia="Calibri" w:hAnsi="Garamond" w:cs="Times New Roman"/>
          <w:iCs/>
          <w:sz w:val="23"/>
          <w:szCs w:val="23"/>
        </w:rPr>
        <w:t xml:space="preserve">al miglioramento della qualità della vita e del benessere economico, sociale, ambientale della comunità </w:t>
      </w:r>
      <w:r w:rsidR="00163E4D" w:rsidRPr="0029268E">
        <w:rPr>
          <w:rFonts w:ascii="Garamond" w:eastAsia="Calibri" w:hAnsi="Garamond" w:cs="Times New Roman"/>
          <w:iCs/>
          <w:sz w:val="23"/>
          <w:szCs w:val="23"/>
        </w:rPr>
        <w:t>abruzzese</w:t>
      </w:r>
      <w:r w:rsidR="00C44D9C">
        <w:rPr>
          <w:rFonts w:ascii="Garamond" w:eastAsia="Calibri" w:hAnsi="Garamond" w:cs="Times New Roman"/>
          <w:iCs/>
          <w:sz w:val="23"/>
          <w:szCs w:val="23"/>
        </w:rPr>
        <w:t>.</w:t>
      </w:r>
    </w:p>
    <w:p w14:paraId="206A1001" w14:textId="77777777" w:rsidR="00CD0455" w:rsidRPr="00D86DC5" w:rsidRDefault="00CD0455" w:rsidP="00C44D9C">
      <w:pPr>
        <w:autoSpaceDE w:val="0"/>
        <w:autoSpaceDN w:val="0"/>
        <w:adjustRightInd w:val="0"/>
        <w:spacing w:after="0" w:line="276" w:lineRule="auto"/>
        <w:ind w:right="-1"/>
        <w:jc w:val="both"/>
        <w:rPr>
          <w:rFonts w:ascii="Garamond" w:eastAsia="Calibri" w:hAnsi="Garamond" w:cs="Times New Roman"/>
          <w:iCs/>
          <w:sz w:val="23"/>
          <w:szCs w:val="23"/>
        </w:rPr>
      </w:pPr>
    </w:p>
    <w:p w14:paraId="55F80148" w14:textId="5F5FF8A8" w:rsidR="00080452" w:rsidRPr="001F5930" w:rsidRDefault="00C17DA0" w:rsidP="00582EFE">
      <w:pPr>
        <w:spacing w:after="0" w:line="276" w:lineRule="auto"/>
        <w:ind w:right="-1"/>
        <w:jc w:val="both"/>
        <w:outlineLvl w:val="1"/>
        <w:rPr>
          <w:rFonts w:ascii="Garamond" w:eastAsia="Calibri" w:hAnsi="Garamond" w:cs="Times New Roman"/>
          <w:b/>
          <w:sz w:val="23"/>
          <w:szCs w:val="23"/>
        </w:rPr>
      </w:pPr>
      <w:bookmarkStart w:id="9" w:name="_Toc102136702"/>
      <w:r>
        <w:rPr>
          <w:rFonts w:ascii="Garamond" w:eastAsia="Calibri" w:hAnsi="Garamond" w:cs="Times New Roman"/>
          <w:b/>
          <w:sz w:val="23"/>
          <w:szCs w:val="23"/>
        </w:rPr>
        <w:t>2.4.2</w:t>
      </w:r>
      <w:r w:rsidR="00B06973" w:rsidRPr="001F5930">
        <w:rPr>
          <w:rFonts w:ascii="Garamond" w:eastAsia="Calibri" w:hAnsi="Garamond" w:cs="Times New Roman"/>
          <w:b/>
          <w:sz w:val="23"/>
          <w:szCs w:val="23"/>
        </w:rPr>
        <w:t xml:space="preserve"> </w:t>
      </w:r>
      <w:r w:rsidR="006250A9">
        <w:rPr>
          <w:rFonts w:ascii="Garamond" w:eastAsia="Calibri" w:hAnsi="Garamond" w:cs="Times New Roman"/>
          <w:b/>
          <w:sz w:val="23"/>
          <w:szCs w:val="23"/>
        </w:rPr>
        <w:t>CONTESTO ESTERNO</w:t>
      </w:r>
      <w:bookmarkEnd w:id="9"/>
    </w:p>
    <w:p w14:paraId="26561D18" w14:textId="77777777" w:rsidR="002977B8" w:rsidRPr="00B06973" w:rsidRDefault="002977B8" w:rsidP="00582EFE">
      <w:pPr>
        <w:spacing w:after="0" w:line="276" w:lineRule="auto"/>
        <w:ind w:right="-1"/>
        <w:jc w:val="both"/>
        <w:rPr>
          <w:rFonts w:ascii="Garamond" w:hAnsi="Garamond" w:cs="Times New Roman"/>
          <w:i/>
          <w:sz w:val="23"/>
          <w:szCs w:val="23"/>
          <w:u w:val="single"/>
        </w:rPr>
      </w:pPr>
    </w:p>
    <w:p w14:paraId="05727363" w14:textId="5AB23573" w:rsidR="0096129D" w:rsidRDefault="00080452"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 xml:space="preserve">L’analisi del contesto esterno </w:t>
      </w:r>
      <w:r w:rsidR="0096129D">
        <w:rPr>
          <w:rFonts w:ascii="Garamond" w:eastAsia="Calibri" w:hAnsi="Garamond" w:cs="Times New Roman"/>
          <w:sz w:val="23"/>
          <w:szCs w:val="23"/>
        </w:rPr>
        <w:t xml:space="preserve">consente di vagliare le variabili </w:t>
      </w:r>
      <w:r w:rsidR="00BD5B02" w:rsidRPr="00D86DC5">
        <w:rPr>
          <w:rFonts w:ascii="Garamond" w:eastAsia="Calibri" w:hAnsi="Garamond" w:cs="Times New Roman"/>
          <w:sz w:val="23"/>
          <w:szCs w:val="23"/>
        </w:rPr>
        <w:t xml:space="preserve">culturali, criminologiche, sociali ed economiche </w:t>
      </w:r>
      <w:r w:rsidR="0096129D">
        <w:rPr>
          <w:rFonts w:ascii="Garamond" w:eastAsia="Calibri" w:hAnsi="Garamond" w:cs="Times New Roman"/>
          <w:sz w:val="23"/>
          <w:szCs w:val="23"/>
        </w:rPr>
        <w:t>presenti nell’ambiente nel quale l’Ammini</w:t>
      </w:r>
      <w:r w:rsidR="00BD5B02">
        <w:rPr>
          <w:rFonts w:ascii="Garamond" w:eastAsia="Calibri" w:hAnsi="Garamond" w:cs="Times New Roman"/>
          <w:sz w:val="23"/>
          <w:szCs w:val="23"/>
        </w:rPr>
        <w:t>strazione esercita la propria azione e di valutar</w:t>
      </w:r>
      <w:r w:rsidR="0096129D">
        <w:rPr>
          <w:rFonts w:ascii="Garamond" w:eastAsia="Calibri" w:hAnsi="Garamond" w:cs="Times New Roman"/>
          <w:sz w:val="23"/>
          <w:szCs w:val="23"/>
        </w:rPr>
        <w:t xml:space="preserve">e l’eventuale effetto </w:t>
      </w:r>
      <w:r w:rsidR="00BD5B02">
        <w:rPr>
          <w:rFonts w:ascii="Garamond" w:eastAsia="Calibri" w:hAnsi="Garamond" w:cs="Times New Roman"/>
          <w:sz w:val="23"/>
          <w:szCs w:val="23"/>
        </w:rPr>
        <w:t>di dette variabili rispetto al rischio del verificarsi dei fenomeni corruttivi, individuando e programmando conseguentemente misure di prevenzione.</w:t>
      </w:r>
    </w:p>
    <w:p w14:paraId="57358A8B" w14:textId="77777777" w:rsidR="00926353" w:rsidRDefault="00926353" w:rsidP="00926353">
      <w:pPr>
        <w:autoSpaceDE w:val="0"/>
        <w:autoSpaceDN w:val="0"/>
        <w:adjustRightInd w:val="0"/>
        <w:spacing w:after="0" w:line="276" w:lineRule="auto"/>
        <w:ind w:right="-1"/>
        <w:jc w:val="both"/>
        <w:rPr>
          <w:rFonts w:ascii="Garamond" w:eastAsia="Calibri" w:hAnsi="Garamond" w:cs="Times New Roman"/>
          <w:sz w:val="23"/>
          <w:szCs w:val="23"/>
        </w:rPr>
      </w:pPr>
    </w:p>
    <w:p w14:paraId="3C10D222" w14:textId="385498E1" w:rsidR="00926353" w:rsidRPr="00500BA4" w:rsidRDefault="003B7DCC" w:rsidP="00926353">
      <w:pPr>
        <w:spacing w:after="0" w:line="276" w:lineRule="auto"/>
        <w:ind w:right="-1"/>
        <w:jc w:val="both"/>
        <w:rPr>
          <w:rFonts w:ascii="Garamond" w:eastAsia="Calibri" w:hAnsi="Garamond" w:cs="Times New Roman"/>
          <w:b/>
          <w:i/>
          <w:smallCaps/>
          <w:sz w:val="23"/>
          <w:szCs w:val="23"/>
        </w:rPr>
      </w:pPr>
      <w:r w:rsidRPr="00500BA4">
        <w:rPr>
          <w:rFonts w:ascii="Garamond" w:eastAsia="Calibri" w:hAnsi="Garamond" w:cs="Times New Roman"/>
          <w:b/>
          <w:i/>
          <w:smallCaps/>
          <w:sz w:val="23"/>
          <w:szCs w:val="23"/>
        </w:rPr>
        <w:t xml:space="preserve">ANAC - </w:t>
      </w:r>
      <w:r w:rsidR="00926353" w:rsidRPr="00500BA4">
        <w:rPr>
          <w:rFonts w:ascii="Garamond" w:eastAsia="Calibri" w:hAnsi="Garamond" w:cs="Times New Roman"/>
          <w:b/>
          <w:i/>
          <w:smallCaps/>
          <w:sz w:val="23"/>
          <w:szCs w:val="23"/>
        </w:rPr>
        <w:t>Misurazione del rischio di corruzione a livello territoriale e promozione della trasparenza</w:t>
      </w:r>
    </w:p>
    <w:p w14:paraId="65C7341B" w14:textId="6A834350" w:rsidR="004E0275" w:rsidRPr="00500BA4" w:rsidRDefault="003B7DCC" w:rsidP="003B7DCC">
      <w:pPr>
        <w:autoSpaceDE w:val="0"/>
        <w:autoSpaceDN w:val="0"/>
        <w:adjustRightInd w:val="0"/>
        <w:spacing w:after="0" w:line="276" w:lineRule="auto"/>
        <w:ind w:right="-1"/>
        <w:jc w:val="both"/>
        <w:rPr>
          <w:rFonts w:ascii="Garamond" w:eastAsia="Calibri" w:hAnsi="Garamond" w:cs="Times New Roman"/>
          <w:sz w:val="23"/>
          <w:szCs w:val="23"/>
        </w:rPr>
      </w:pPr>
      <w:r w:rsidRPr="00500BA4">
        <w:rPr>
          <w:rFonts w:ascii="Garamond" w:eastAsia="Calibri" w:hAnsi="Garamond" w:cs="Times New Roman"/>
          <w:sz w:val="23"/>
          <w:szCs w:val="23"/>
        </w:rPr>
        <w:t xml:space="preserve">Il progetto </w:t>
      </w:r>
      <w:r w:rsidR="00E62D43" w:rsidRPr="00500BA4">
        <w:rPr>
          <w:rFonts w:ascii="Garamond" w:eastAsia="Calibri" w:hAnsi="Garamond" w:cs="Times New Roman"/>
          <w:sz w:val="23"/>
          <w:szCs w:val="23"/>
        </w:rPr>
        <w:t>ANAC</w:t>
      </w:r>
      <w:r w:rsidRPr="00500BA4">
        <w:rPr>
          <w:rFonts w:ascii="Garamond" w:eastAsia="Calibri" w:hAnsi="Garamond" w:cs="Times New Roman"/>
          <w:sz w:val="23"/>
          <w:szCs w:val="23"/>
        </w:rPr>
        <w:t xml:space="preserve"> dal titolo “</w:t>
      </w:r>
      <w:r w:rsidRPr="00500BA4">
        <w:rPr>
          <w:rFonts w:ascii="Garamond" w:eastAsia="Calibri" w:hAnsi="Garamond" w:cs="Times New Roman"/>
          <w:i/>
          <w:iCs/>
          <w:sz w:val="23"/>
          <w:szCs w:val="23"/>
        </w:rPr>
        <w:t>Misurazione del rischio di corruzione a livello territoriale e promozione della trasparenza</w:t>
      </w:r>
      <w:r w:rsidRPr="00500BA4">
        <w:rPr>
          <w:rFonts w:ascii="Garamond" w:eastAsia="Calibri" w:hAnsi="Garamond" w:cs="Times New Roman"/>
          <w:sz w:val="23"/>
          <w:szCs w:val="23"/>
        </w:rPr>
        <w:t xml:space="preserve">”, finanziato dal Programma Operativo Nazionale </w:t>
      </w:r>
      <w:proofErr w:type="spellStart"/>
      <w:r w:rsidRPr="00500BA4">
        <w:rPr>
          <w:rFonts w:ascii="Garamond" w:eastAsia="Calibri" w:hAnsi="Garamond" w:cs="Times New Roman"/>
          <w:sz w:val="23"/>
          <w:szCs w:val="23"/>
        </w:rPr>
        <w:t>Governance</w:t>
      </w:r>
      <w:proofErr w:type="spellEnd"/>
      <w:r w:rsidRPr="00500BA4">
        <w:rPr>
          <w:rFonts w:ascii="Garamond" w:eastAsia="Calibri" w:hAnsi="Garamond" w:cs="Times New Roman"/>
          <w:sz w:val="23"/>
          <w:szCs w:val="23"/>
        </w:rPr>
        <w:t xml:space="preserve"> e Capacità istituzionale 2014-2020, rende disponibile un set di indicatori per quantificare il rischio che si verifichino eventi corruttivi a livello territoriale, utilizzando le informazioni contenute in varie banche dati.</w:t>
      </w:r>
      <w:r w:rsidR="001C287C" w:rsidRPr="00500BA4">
        <w:rPr>
          <w:rFonts w:ascii="Garamond" w:eastAsia="Calibri" w:hAnsi="Garamond" w:cs="Times New Roman"/>
          <w:sz w:val="23"/>
          <w:szCs w:val="23"/>
        </w:rPr>
        <w:t xml:space="preserve"> </w:t>
      </w:r>
      <w:r w:rsidRPr="00500BA4">
        <w:rPr>
          <w:rFonts w:ascii="Garamond" w:eastAsia="Calibri" w:hAnsi="Garamond" w:cs="Times New Roman"/>
          <w:sz w:val="23"/>
          <w:szCs w:val="23"/>
        </w:rPr>
        <w:t>Gli indicatori possono essere considerati come dei campanelli d’allarme che segnalano situazioni potenzialmente problematiche, permettendo in questo modo, ad esempio, di avere il quadro di contesti territoriali più o meno esposti a fenomeni corruttivi.</w:t>
      </w:r>
      <w:r w:rsidR="001C287C" w:rsidRPr="00500BA4">
        <w:rPr>
          <w:rFonts w:ascii="Garamond" w:eastAsia="Calibri" w:hAnsi="Garamond" w:cs="Times New Roman"/>
          <w:sz w:val="23"/>
          <w:szCs w:val="23"/>
        </w:rPr>
        <w:t xml:space="preserve"> Il progetto contribuisce a sviluppare una metodologia di riferimento per la misurazione del rischio di corruzione a livello territoriale.</w:t>
      </w:r>
      <w:r w:rsidR="005A3132" w:rsidRPr="00500BA4">
        <w:rPr>
          <w:rFonts w:ascii="Garamond" w:eastAsia="Calibri" w:hAnsi="Garamond" w:cs="Times New Roman"/>
          <w:sz w:val="23"/>
          <w:szCs w:val="23"/>
        </w:rPr>
        <w:t xml:space="preserve"> </w:t>
      </w:r>
      <w:r w:rsidR="001C287C" w:rsidRPr="00500BA4">
        <w:rPr>
          <w:rFonts w:ascii="Garamond" w:eastAsia="Calibri" w:hAnsi="Garamond" w:cs="Times New Roman"/>
          <w:sz w:val="23"/>
          <w:szCs w:val="23"/>
        </w:rPr>
        <w:t>Esistono tre t</w:t>
      </w:r>
      <w:r w:rsidRPr="00500BA4">
        <w:rPr>
          <w:rFonts w:ascii="Garamond" w:eastAsia="Calibri" w:hAnsi="Garamond" w:cs="Times New Roman"/>
          <w:sz w:val="23"/>
          <w:szCs w:val="23"/>
        </w:rPr>
        <w:t>ipologie di indicatori</w:t>
      </w:r>
      <w:r w:rsidR="001C287C" w:rsidRPr="00500BA4">
        <w:rPr>
          <w:rFonts w:ascii="Garamond" w:eastAsia="Calibri" w:hAnsi="Garamond" w:cs="Times New Roman"/>
          <w:sz w:val="23"/>
          <w:szCs w:val="23"/>
        </w:rPr>
        <w:t>.</w:t>
      </w:r>
    </w:p>
    <w:p w14:paraId="24D81DB4" w14:textId="6B015F47" w:rsidR="001C287C" w:rsidRPr="00500BA4" w:rsidRDefault="001C287C" w:rsidP="001C287C">
      <w:pPr>
        <w:autoSpaceDE w:val="0"/>
        <w:autoSpaceDN w:val="0"/>
        <w:adjustRightInd w:val="0"/>
        <w:spacing w:after="0" w:line="276" w:lineRule="auto"/>
        <w:ind w:right="-1"/>
        <w:jc w:val="both"/>
        <w:rPr>
          <w:rFonts w:ascii="Garamond" w:eastAsia="Calibri" w:hAnsi="Garamond" w:cs="Times New Roman"/>
          <w:sz w:val="23"/>
          <w:szCs w:val="23"/>
        </w:rPr>
      </w:pPr>
      <w:r w:rsidRPr="00500BA4">
        <w:rPr>
          <w:rFonts w:ascii="Garamond" w:eastAsia="Calibri" w:hAnsi="Garamond" w:cs="Times New Roman"/>
          <w:sz w:val="23"/>
          <w:szCs w:val="23"/>
        </w:rPr>
        <w:t xml:space="preserve">Gli </w:t>
      </w:r>
      <w:r w:rsidRPr="00500BA4">
        <w:rPr>
          <w:rFonts w:ascii="Garamond" w:eastAsia="Calibri" w:hAnsi="Garamond" w:cs="Times New Roman"/>
          <w:b/>
          <w:sz w:val="23"/>
          <w:szCs w:val="23"/>
        </w:rPr>
        <w:t>indicatori di contesto</w:t>
      </w:r>
      <w:r w:rsidRPr="00500BA4">
        <w:rPr>
          <w:rFonts w:ascii="Garamond" w:eastAsia="Calibri" w:hAnsi="Garamond" w:cs="Times New Roman"/>
          <w:sz w:val="23"/>
          <w:szCs w:val="23"/>
        </w:rPr>
        <w:t xml:space="preserve"> supportano l’analisi del rischio corruttivo nei territori, andando ad indagare dimensioni tematiche legate all’istruzione, alla presenza di criminalità, al tessuto sociale, all’economia locale e alle condizioni socio-economiche dei cittadini.</w:t>
      </w:r>
      <w:r w:rsidR="0096167D" w:rsidRPr="00500BA4">
        <w:rPr>
          <w:rFonts w:ascii="Garamond" w:eastAsia="Calibri" w:hAnsi="Garamond" w:cs="Times New Roman"/>
          <w:sz w:val="23"/>
          <w:szCs w:val="23"/>
        </w:rPr>
        <w:t xml:space="preserve"> </w:t>
      </w:r>
      <w:r w:rsidRPr="00500BA4">
        <w:rPr>
          <w:rFonts w:ascii="Garamond" w:eastAsia="Calibri" w:hAnsi="Garamond" w:cs="Times New Roman"/>
          <w:sz w:val="23"/>
          <w:szCs w:val="23"/>
        </w:rPr>
        <w:t>L’analisi di contesto ha preso in considerazione diciotto indicatori su base provinciale, che sono stati raccolti in quattro domini tematici (istruzione, economia del territorio, capitale sociale e criminalità) e che sono sintetizzati da un indice composito per rendere più semplice la lettura della complessità dovuta alle numerose dimensioni considerate. A completamento del quadro, sono stati considerati ulteriori venticinque indicatori di contesto non raccolti in domini.</w:t>
      </w:r>
    </w:p>
    <w:p w14:paraId="138A022B" w14:textId="305DA050" w:rsidR="001C287C" w:rsidRPr="00500BA4" w:rsidRDefault="0096167D" w:rsidP="001C287C">
      <w:pPr>
        <w:autoSpaceDE w:val="0"/>
        <w:autoSpaceDN w:val="0"/>
        <w:adjustRightInd w:val="0"/>
        <w:spacing w:after="0" w:line="276" w:lineRule="auto"/>
        <w:ind w:right="-1"/>
        <w:jc w:val="both"/>
        <w:rPr>
          <w:rFonts w:ascii="Garamond" w:eastAsia="Calibri" w:hAnsi="Garamond" w:cs="Times New Roman"/>
          <w:sz w:val="23"/>
          <w:szCs w:val="23"/>
        </w:rPr>
      </w:pPr>
      <w:r w:rsidRPr="00500BA4">
        <w:rPr>
          <w:rFonts w:ascii="Garamond" w:eastAsia="Calibri" w:hAnsi="Garamond" w:cs="Times New Roman"/>
          <w:sz w:val="23"/>
          <w:szCs w:val="23"/>
        </w:rPr>
        <w:lastRenderedPageBreak/>
        <w:t xml:space="preserve">Gli </w:t>
      </w:r>
      <w:r w:rsidRPr="00500BA4">
        <w:rPr>
          <w:rFonts w:ascii="Garamond" w:eastAsia="Calibri" w:hAnsi="Garamond" w:cs="Times New Roman"/>
          <w:b/>
          <w:sz w:val="23"/>
          <w:szCs w:val="23"/>
        </w:rPr>
        <w:t>indicatori di rischio corruttivo negli appalti</w:t>
      </w:r>
      <w:r w:rsidRPr="00500BA4">
        <w:rPr>
          <w:rFonts w:ascii="Garamond" w:eastAsia="Calibri" w:hAnsi="Garamond" w:cs="Times New Roman"/>
          <w:sz w:val="23"/>
          <w:szCs w:val="23"/>
        </w:rPr>
        <w:t xml:space="preserve"> forniscono informazioni legate agli acquisti delle amministrazioni localizzate nella provincia a cui si riferiscono. Sono suddivisi in diciassette tipologie e sono suddivisi per oggetto (lavori, servizi, forniture), settore (ordinario e speciale) e anno di pubblicazione. </w:t>
      </w:r>
      <w:proofErr w:type="spellStart"/>
      <w:r w:rsidRPr="00500BA4">
        <w:rPr>
          <w:rFonts w:ascii="Garamond" w:eastAsia="Calibri" w:hAnsi="Garamond" w:cs="Times New Roman"/>
          <w:sz w:val="23"/>
          <w:szCs w:val="23"/>
        </w:rPr>
        <w:t>Anac</w:t>
      </w:r>
      <w:proofErr w:type="spellEnd"/>
      <w:r w:rsidRPr="00500BA4">
        <w:rPr>
          <w:rFonts w:ascii="Garamond" w:eastAsia="Calibri" w:hAnsi="Garamond" w:cs="Times New Roman"/>
          <w:sz w:val="23"/>
          <w:szCs w:val="23"/>
        </w:rPr>
        <w:t xml:space="preserve"> ha individuato un insieme di indicatori che a vario titolo individuano aspetti che possono mettere in luce potenziali fenomeni corruttivi nell’ambito degli appalti.</w:t>
      </w:r>
    </w:p>
    <w:p w14:paraId="12DBEDD7" w14:textId="16E2C01E" w:rsidR="00FC4188" w:rsidRPr="00500BA4" w:rsidRDefault="00951F9A" w:rsidP="001C287C">
      <w:pPr>
        <w:autoSpaceDE w:val="0"/>
        <w:autoSpaceDN w:val="0"/>
        <w:adjustRightInd w:val="0"/>
        <w:spacing w:after="0" w:line="276" w:lineRule="auto"/>
        <w:ind w:right="-1"/>
        <w:jc w:val="both"/>
        <w:rPr>
          <w:rFonts w:ascii="Garamond" w:eastAsia="Calibri" w:hAnsi="Garamond" w:cs="Times New Roman"/>
          <w:sz w:val="23"/>
          <w:szCs w:val="23"/>
        </w:rPr>
      </w:pPr>
      <w:r w:rsidRPr="00500BA4">
        <w:rPr>
          <w:rFonts w:ascii="Garamond" w:eastAsia="Calibri" w:hAnsi="Garamond" w:cs="Times New Roman"/>
          <w:sz w:val="23"/>
          <w:szCs w:val="23"/>
        </w:rPr>
        <w:t>Dalla piattaforma ANAC, i</w:t>
      </w:r>
      <w:r w:rsidR="00FC4188" w:rsidRPr="00500BA4">
        <w:rPr>
          <w:rFonts w:ascii="Garamond" w:eastAsia="Calibri" w:hAnsi="Garamond" w:cs="Times New Roman"/>
          <w:sz w:val="23"/>
          <w:szCs w:val="23"/>
        </w:rPr>
        <w:t>mpostando la soglia di rischio a 0,75 (province il cui valore supera quello del 75% delle province con valore meno rischioso)</w:t>
      </w:r>
      <w:r w:rsidRPr="00500BA4">
        <w:rPr>
          <w:rFonts w:ascii="Garamond" w:eastAsia="Calibri" w:hAnsi="Garamond" w:cs="Times New Roman"/>
          <w:sz w:val="23"/>
          <w:szCs w:val="23"/>
        </w:rPr>
        <w:t>,</w:t>
      </w:r>
      <w:r w:rsidR="00FC4188" w:rsidRPr="00500BA4">
        <w:rPr>
          <w:rFonts w:ascii="Garamond" w:eastAsia="Calibri" w:hAnsi="Garamond" w:cs="Times New Roman"/>
          <w:sz w:val="23"/>
          <w:szCs w:val="23"/>
        </w:rPr>
        <w:t xml:space="preserve"> per l’anno 2022 </w:t>
      </w:r>
      <w:r w:rsidRPr="00500BA4">
        <w:rPr>
          <w:rFonts w:ascii="Garamond" w:eastAsia="Calibri" w:hAnsi="Garamond" w:cs="Times New Roman"/>
          <w:sz w:val="23"/>
          <w:szCs w:val="23"/>
        </w:rPr>
        <w:t>emerge</w:t>
      </w:r>
      <w:r w:rsidR="00FC4188" w:rsidRPr="00500BA4">
        <w:rPr>
          <w:rFonts w:ascii="Garamond" w:eastAsia="Calibri" w:hAnsi="Garamond" w:cs="Times New Roman"/>
          <w:sz w:val="23"/>
          <w:szCs w:val="23"/>
        </w:rPr>
        <w:t xml:space="preserve"> per la provincia di L’Aquila</w:t>
      </w:r>
      <w:r w:rsidRPr="00500BA4">
        <w:rPr>
          <w:rFonts w:ascii="Garamond" w:eastAsia="Calibri" w:hAnsi="Garamond" w:cs="Times New Roman"/>
          <w:sz w:val="23"/>
          <w:szCs w:val="23"/>
        </w:rPr>
        <w:t xml:space="preserve"> che</w:t>
      </w:r>
      <w:r w:rsidR="00FC4188" w:rsidRPr="00500BA4">
        <w:rPr>
          <w:rFonts w:ascii="Garamond" w:eastAsia="Calibri" w:hAnsi="Garamond" w:cs="Times New Roman"/>
          <w:sz w:val="23"/>
          <w:szCs w:val="23"/>
        </w:rPr>
        <w:t>, su 12 indicatori calcolabili, 0 indicatori superano la soglia impostata</w:t>
      </w:r>
      <w:r w:rsidR="00C9522F" w:rsidRPr="00500BA4">
        <w:rPr>
          <w:rFonts w:ascii="Garamond" w:eastAsia="Calibri" w:hAnsi="Garamond" w:cs="Times New Roman"/>
          <w:sz w:val="23"/>
          <w:szCs w:val="23"/>
        </w:rPr>
        <w:t xml:space="preserve"> (rapporto: 0,00); per la provincia di Teramo</w:t>
      </w:r>
      <w:r w:rsidRPr="00500BA4">
        <w:rPr>
          <w:rFonts w:ascii="Garamond" w:eastAsia="Calibri" w:hAnsi="Garamond" w:cs="Times New Roman"/>
          <w:sz w:val="23"/>
          <w:szCs w:val="23"/>
        </w:rPr>
        <w:t xml:space="preserve"> che</w:t>
      </w:r>
      <w:r w:rsidR="00C9522F" w:rsidRPr="00500BA4">
        <w:rPr>
          <w:rFonts w:ascii="Garamond" w:eastAsia="Calibri" w:hAnsi="Garamond" w:cs="Times New Roman"/>
          <w:sz w:val="23"/>
          <w:szCs w:val="23"/>
        </w:rPr>
        <w:t>, su 10 indicatori calcolabili, 2 indicatori superano la soglia impostata (rapporto: 0,20); per la provincia di Pescara</w:t>
      </w:r>
      <w:r w:rsidRPr="00500BA4">
        <w:rPr>
          <w:rFonts w:ascii="Garamond" w:eastAsia="Calibri" w:hAnsi="Garamond" w:cs="Times New Roman"/>
          <w:sz w:val="23"/>
          <w:szCs w:val="23"/>
        </w:rPr>
        <w:t xml:space="preserve"> che</w:t>
      </w:r>
      <w:r w:rsidR="00C9522F" w:rsidRPr="00500BA4">
        <w:rPr>
          <w:rFonts w:ascii="Garamond" w:eastAsia="Calibri" w:hAnsi="Garamond" w:cs="Times New Roman"/>
          <w:sz w:val="23"/>
          <w:szCs w:val="23"/>
        </w:rPr>
        <w:t>, su 12 indicatori calcolabili, 3 indicatori superano la soglia impostata (rapporto: 0,25); per la provincia di Chieti</w:t>
      </w:r>
      <w:r w:rsidRPr="00500BA4">
        <w:rPr>
          <w:rFonts w:ascii="Garamond" w:eastAsia="Calibri" w:hAnsi="Garamond" w:cs="Times New Roman"/>
          <w:sz w:val="23"/>
          <w:szCs w:val="23"/>
        </w:rPr>
        <w:t xml:space="preserve"> che</w:t>
      </w:r>
      <w:r w:rsidR="00C9522F" w:rsidRPr="00500BA4">
        <w:rPr>
          <w:rFonts w:ascii="Garamond" w:eastAsia="Calibri" w:hAnsi="Garamond" w:cs="Times New Roman"/>
          <w:sz w:val="23"/>
          <w:szCs w:val="23"/>
        </w:rPr>
        <w:t>, su 15 indicatori calcolabili, 2 indicatori superano la soglia impostata (rapporto: 0,13).</w:t>
      </w:r>
    </w:p>
    <w:p w14:paraId="7DD426FE" w14:textId="77777777" w:rsidR="00E86305" w:rsidRPr="00D86DC5" w:rsidRDefault="00E86305" w:rsidP="00582EFE">
      <w:pPr>
        <w:autoSpaceDE w:val="0"/>
        <w:autoSpaceDN w:val="0"/>
        <w:adjustRightInd w:val="0"/>
        <w:spacing w:after="0" w:line="276" w:lineRule="auto"/>
        <w:ind w:right="-1"/>
        <w:jc w:val="both"/>
        <w:rPr>
          <w:rFonts w:ascii="Garamond" w:eastAsia="Calibri" w:hAnsi="Garamond" w:cs="Times New Roman"/>
          <w:sz w:val="23"/>
          <w:szCs w:val="23"/>
        </w:rPr>
      </w:pPr>
    </w:p>
    <w:p w14:paraId="4EE8CB12" w14:textId="3CE560E4" w:rsidR="00080452" w:rsidRPr="00926B2D" w:rsidRDefault="00080452" w:rsidP="00582EFE">
      <w:pPr>
        <w:spacing w:after="0" w:line="276" w:lineRule="auto"/>
        <w:ind w:right="-1"/>
        <w:jc w:val="both"/>
        <w:rPr>
          <w:rFonts w:ascii="Garamond" w:eastAsia="Calibri" w:hAnsi="Garamond" w:cs="Times New Roman"/>
          <w:b/>
          <w:i/>
          <w:smallCaps/>
          <w:sz w:val="23"/>
          <w:szCs w:val="23"/>
        </w:rPr>
      </w:pPr>
      <w:bookmarkStart w:id="10" w:name="_Toc43329163"/>
      <w:bookmarkStart w:id="11" w:name="_Hlk101634696"/>
      <w:r w:rsidRPr="00926B2D">
        <w:rPr>
          <w:rFonts w:ascii="Garamond" w:eastAsia="Calibri" w:hAnsi="Garamond" w:cs="Times New Roman"/>
          <w:b/>
          <w:i/>
          <w:smallCaps/>
          <w:sz w:val="23"/>
          <w:szCs w:val="23"/>
        </w:rPr>
        <w:t>L’</w:t>
      </w:r>
      <w:r w:rsidR="00611FC0" w:rsidRPr="00926B2D">
        <w:rPr>
          <w:rFonts w:ascii="Garamond" w:eastAsia="Calibri" w:hAnsi="Garamond" w:cs="Times New Roman"/>
          <w:b/>
          <w:i/>
          <w:smallCaps/>
          <w:sz w:val="23"/>
          <w:szCs w:val="23"/>
        </w:rPr>
        <w:t>indice di percezione dei fenomeni corruttivi</w:t>
      </w:r>
      <w:bookmarkEnd w:id="10"/>
      <w:r w:rsidR="00BD5B02">
        <w:rPr>
          <w:rFonts w:ascii="Garamond" w:eastAsia="Calibri" w:hAnsi="Garamond" w:cs="Times New Roman"/>
          <w:b/>
          <w:i/>
          <w:smallCaps/>
          <w:sz w:val="23"/>
          <w:szCs w:val="23"/>
        </w:rPr>
        <w:t xml:space="preserve"> in </w:t>
      </w:r>
      <w:proofErr w:type="spellStart"/>
      <w:r w:rsidR="00BD5B02">
        <w:rPr>
          <w:rFonts w:ascii="Garamond" w:eastAsia="Calibri" w:hAnsi="Garamond" w:cs="Times New Roman"/>
          <w:b/>
          <w:i/>
          <w:smallCaps/>
          <w:sz w:val="23"/>
          <w:szCs w:val="23"/>
        </w:rPr>
        <w:t>italia</w:t>
      </w:r>
      <w:proofErr w:type="spellEnd"/>
    </w:p>
    <w:bookmarkEnd w:id="11"/>
    <w:p w14:paraId="53C3417D" w14:textId="77777777" w:rsidR="00771978" w:rsidRPr="00D86DC5" w:rsidRDefault="00771978" w:rsidP="00582EFE">
      <w:pPr>
        <w:spacing w:after="0" w:line="276" w:lineRule="auto"/>
        <w:ind w:right="-1"/>
        <w:jc w:val="both"/>
        <w:rPr>
          <w:rFonts w:ascii="Garamond" w:eastAsia="Calibri" w:hAnsi="Garamond" w:cs="Times New Roman"/>
          <w:color w:val="000000"/>
          <w:sz w:val="23"/>
          <w:szCs w:val="23"/>
        </w:rPr>
      </w:pPr>
      <w:r w:rsidRPr="00D86DC5">
        <w:rPr>
          <w:rFonts w:ascii="Garamond" w:eastAsia="Calibri" w:hAnsi="Garamond" w:cs="Times New Roman"/>
          <w:color w:val="000000"/>
          <w:sz w:val="23"/>
          <w:szCs w:val="23"/>
        </w:rPr>
        <w:t>L’Indice di Percezione della Corruzione (‘</w:t>
      </w:r>
      <w:proofErr w:type="spellStart"/>
      <w:r w:rsidRPr="00D86DC5">
        <w:rPr>
          <w:rFonts w:ascii="Garamond" w:eastAsia="Calibri" w:hAnsi="Garamond" w:cs="Times New Roman"/>
          <w:color w:val="000000"/>
          <w:sz w:val="23"/>
          <w:szCs w:val="23"/>
        </w:rPr>
        <w:t>Corruption</w:t>
      </w:r>
      <w:proofErr w:type="spellEnd"/>
      <w:r w:rsidRPr="00D86DC5">
        <w:rPr>
          <w:rFonts w:ascii="Garamond" w:eastAsia="Calibri" w:hAnsi="Garamond" w:cs="Times New Roman"/>
          <w:color w:val="000000"/>
          <w:sz w:val="23"/>
          <w:szCs w:val="23"/>
        </w:rPr>
        <w:t xml:space="preserve"> </w:t>
      </w:r>
      <w:proofErr w:type="spellStart"/>
      <w:r w:rsidRPr="00D86DC5">
        <w:rPr>
          <w:rFonts w:ascii="Garamond" w:eastAsia="Calibri" w:hAnsi="Garamond" w:cs="Times New Roman"/>
          <w:color w:val="000000"/>
          <w:sz w:val="23"/>
          <w:szCs w:val="23"/>
        </w:rPr>
        <w:t>Perceptions</w:t>
      </w:r>
      <w:proofErr w:type="spellEnd"/>
      <w:r w:rsidRPr="00D86DC5">
        <w:rPr>
          <w:rFonts w:ascii="Garamond" w:eastAsia="Calibri" w:hAnsi="Garamond" w:cs="Times New Roman"/>
          <w:color w:val="000000"/>
          <w:sz w:val="23"/>
          <w:szCs w:val="23"/>
        </w:rPr>
        <w:t xml:space="preserve"> Index – CPI’), pubblicato da </w:t>
      </w:r>
      <w:proofErr w:type="spellStart"/>
      <w:r w:rsidRPr="00D86DC5">
        <w:rPr>
          <w:rFonts w:ascii="Garamond" w:eastAsia="Calibri" w:hAnsi="Garamond" w:cs="Times New Roman"/>
          <w:color w:val="000000"/>
          <w:sz w:val="23"/>
          <w:szCs w:val="23"/>
        </w:rPr>
        <w:t>Transparency</w:t>
      </w:r>
      <w:proofErr w:type="spellEnd"/>
      <w:r w:rsidRPr="00D86DC5">
        <w:rPr>
          <w:rFonts w:ascii="Garamond" w:eastAsia="Calibri" w:hAnsi="Garamond" w:cs="Times New Roman"/>
          <w:color w:val="000000"/>
          <w:sz w:val="23"/>
          <w:szCs w:val="23"/>
        </w:rPr>
        <w:t xml:space="preserve"> International</w:t>
      </w:r>
      <w:r w:rsidR="004144E9" w:rsidRPr="00D86DC5">
        <w:rPr>
          <w:rFonts w:ascii="Garamond" w:hAnsi="Garamond" w:cs="Times New Roman"/>
          <w:sz w:val="23"/>
          <w:szCs w:val="23"/>
        </w:rPr>
        <w:t xml:space="preserve"> (</w:t>
      </w:r>
      <w:r w:rsidR="004144E9" w:rsidRPr="00D86DC5">
        <w:rPr>
          <w:rFonts w:ascii="Garamond" w:eastAsia="Calibri" w:hAnsi="Garamond" w:cs="Times New Roman"/>
          <w:color w:val="000000"/>
          <w:sz w:val="23"/>
          <w:szCs w:val="23"/>
        </w:rPr>
        <w:t>organizzazione non governativa per la promozione della trasparenza ed il</w:t>
      </w:r>
      <w:r w:rsidR="003F4483">
        <w:rPr>
          <w:rFonts w:ascii="Garamond" w:eastAsia="Calibri" w:hAnsi="Garamond" w:cs="Times New Roman"/>
          <w:color w:val="000000"/>
          <w:sz w:val="23"/>
          <w:szCs w:val="23"/>
        </w:rPr>
        <w:t xml:space="preserve"> </w:t>
      </w:r>
      <w:r w:rsidR="004144E9" w:rsidRPr="00D86DC5">
        <w:rPr>
          <w:rFonts w:ascii="Garamond" w:eastAsia="Calibri" w:hAnsi="Garamond" w:cs="Times New Roman"/>
          <w:color w:val="000000"/>
          <w:sz w:val="23"/>
          <w:szCs w:val="23"/>
        </w:rPr>
        <w:t>contrasto alla corruzione)</w:t>
      </w:r>
      <w:r w:rsidRPr="00D86DC5">
        <w:rPr>
          <w:rFonts w:ascii="Garamond" w:eastAsia="Calibri" w:hAnsi="Garamond" w:cs="Times New Roman"/>
          <w:color w:val="000000"/>
          <w:sz w:val="23"/>
          <w:szCs w:val="23"/>
        </w:rPr>
        <w:t>, costituisce dal 1995 il principale indicatore statistico del livello di corruzion</w:t>
      </w:r>
      <w:r w:rsidR="00CE2A74" w:rsidRPr="00D86DC5">
        <w:rPr>
          <w:rFonts w:ascii="Garamond" w:eastAsia="Calibri" w:hAnsi="Garamond" w:cs="Times New Roman"/>
          <w:color w:val="000000"/>
          <w:sz w:val="23"/>
          <w:szCs w:val="23"/>
        </w:rPr>
        <w:t>e percepito</w:t>
      </w:r>
      <w:r w:rsidRPr="00D86DC5">
        <w:rPr>
          <w:rFonts w:ascii="Garamond" w:eastAsia="Calibri" w:hAnsi="Garamond" w:cs="Times New Roman"/>
          <w:color w:val="000000"/>
          <w:sz w:val="23"/>
          <w:szCs w:val="23"/>
        </w:rPr>
        <w:t xml:space="preserve"> nel settore pubblico in </w:t>
      </w:r>
      <w:r w:rsidR="00CE2A74" w:rsidRPr="00D86DC5">
        <w:rPr>
          <w:rFonts w:ascii="Garamond" w:eastAsia="Calibri" w:hAnsi="Garamond" w:cs="Times New Roman"/>
          <w:color w:val="000000"/>
          <w:sz w:val="23"/>
          <w:szCs w:val="23"/>
        </w:rPr>
        <w:t>180</w:t>
      </w:r>
      <w:r w:rsidRPr="00D86DC5">
        <w:rPr>
          <w:rFonts w:ascii="Garamond" w:eastAsia="Calibri" w:hAnsi="Garamond" w:cs="Times New Roman"/>
          <w:color w:val="000000"/>
          <w:sz w:val="23"/>
          <w:szCs w:val="23"/>
        </w:rPr>
        <w:t xml:space="preserve"> Paesi </w:t>
      </w:r>
      <w:r w:rsidR="00CE2A74" w:rsidRPr="00D86DC5">
        <w:rPr>
          <w:rFonts w:ascii="Garamond" w:eastAsia="Calibri" w:hAnsi="Garamond" w:cs="Times New Roman"/>
          <w:color w:val="000000"/>
          <w:sz w:val="23"/>
          <w:szCs w:val="23"/>
        </w:rPr>
        <w:t>nel</w:t>
      </w:r>
      <w:r w:rsidRPr="00D86DC5">
        <w:rPr>
          <w:rFonts w:ascii="Garamond" w:eastAsia="Calibri" w:hAnsi="Garamond" w:cs="Times New Roman"/>
          <w:color w:val="000000"/>
          <w:sz w:val="23"/>
          <w:szCs w:val="23"/>
        </w:rPr>
        <w:t xml:space="preserve"> mondo.</w:t>
      </w:r>
    </w:p>
    <w:p w14:paraId="04B42AFC" w14:textId="77777777" w:rsidR="00B2765A" w:rsidRPr="00D86DC5" w:rsidRDefault="00B2765A" w:rsidP="00582EFE">
      <w:pPr>
        <w:spacing w:after="0" w:line="276" w:lineRule="auto"/>
        <w:ind w:right="-1"/>
        <w:jc w:val="both"/>
        <w:rPr>
          <w:rFonts w:ascii="Garamond" w:eastAsia="Calibri" w:hAnsi="Garamond" w:cs="Times New Roman"/>
          <w:color w:val="000000"/>
          <w:sz w:val="23"/>
          <w:szCs w:val="23"/>
        </w:rPr>
      </w:pPr>
      <w:r w:rsidRPr="00D86DC5">
        <w:rPr>
          <w:rFonts w:ascii="Garamond" w:eastAsia="Calibri" w:hAnsi="Garamond" w:cs="Times New Roman"/>
          <w:color w:val="000000"/>
          <w:sz w:val="23"/>
          <w:szCs w:val="23"/>
        </w:rPr>
        <w:t xml:space="preserve">L’Indice, elaborato annualmente, classifica i Paesi attraverso l’impiego di 13 strumenti di analisi e di sondaggi rivolti ad esperti provenienti dal mondo del </w:t>
      </w:r>
      <w:r w:rsidRPr="00D86DC5">
        <w:rPr>
          <w:rFonts w:ascii="Garamond" w:eastAsia="Calibri" w:hAnsi="Garamond" w:cs="Times New Roman"/>
          <w:i/>
          <w:color w:val="000000"/>
          <w:sz w:val="23"/>
          <w:szCs w:val="23"/>
        </w:rPr>
        <w:t>business</w:t>
      </w:r>
      <w:r w:rsidRPr="00D86DC5">
        <w:rPr>
          <w:rFonts w:ascii="Garamond" w:eastAsia="Calibri" w:hAnsi="Garamond" w:cs="Times New Roman"/>
          <w:color w:val="000000"/>
          <w:sz w:val="23"/>
          <w:szCs w:val="23"/>
        </w:rPr>
        <w:t>. Il punteggio finale è attribuito in base ad una scala che va da 0 (alto livello di corruzione percepita) a 100 (basso livello di corruzione percepita).</w:t>
      </w:r>
    </w:p>
    <w:p w14:paraId="0EE1BF78" w14:textId="77777777" w:rsidR="00B2765A" w:rsidRPr="00D86DC5" w:rsidRDefault="00B2765A" w:rsidP="00582EFE">
      <w:pPr>
        <w:spacing w:after="0" w:line="276" w:lineRule="auto"/>
        <w:ind w:right="-1"/>
        <w:jc w:val="both"/>
        <w:rPr>
          <w:rFonts w:ascii="Garamond" w:eastAsia="Calibri" w:hAnsi="Garamond" w:cs="Times New Roman"/>
          <w:color w:val="000000"/>
          <w:sz w:val="23"/>
          <w:szCs w:val="23"/>
        </w:rPr>
      </w:pPr>
      <w:r w:rsidRPr="00D86DC5">
        <w:rPr>
          <w:rFonts w:ascii="Garamond" w:eastAsia="Calibri" w:hAnsi="Garamond" w:cs="Times New Roman"/>
          <w:color w:val="000000"/>
          <w:sz w:val="23"/>
          <w:szCs w:val="23"/>
        </w:rPr>
        <w:t>I principali indicatori del livello di corruzione percepito presi in considerazione per stilare la graduatoria CPI attengono sia a quei tipici comportamenti di natura corruttiva che spesso si annidano nel settore pubblico, quali ad esempio la deviazione dei fondi pubblici, sia alle misure adottate dai governi al fine di prevenire il rischio di fenomeni corruttivi.</w:t>
      </w:r>
    </w:p>
    <w:p w14:paraId="057B21BC" w14:textId="77777777" w:rsidR="00BE03D0" w:rsidRPr="00D86DC5" w:rsidRDefault="00BE03D0" w:rsidP="00582EFE">
      <w:pPr>
        <w:spacing w:after="0" w:line="276" w:lineRule="auto"/>
        <w:ind w:right="-1"/>
        <w:jc w:val="both"/>
        <w:rPr>
          <w:rFonts w:ascii="Garamond" w:eastAsia="Calibri" w:hAnsi="Garamond" w:cs="Times New Roman"/>
          <w:color w:val="000000"/>
          <w:sz w:val="23"/>
          <w:szCs w:val="23"/>
        </w:rPr>
      </w:pPr>
      <w:r w:rsidRPr="00D86DC5">
        <w:rPr>
          <w:rFonts w:ascii="Garamond" w:eastAsia="Calibri" w:hAnsi="Garamond" w:cs="Times New Roman"/>
          <w:color w:val="000000"/>
          <w:sz w:val="23"/>
          <w:szCs w:val="23"/>
        </w:rPr>
        <w:t>L’indice di percezione della Corruzione 2021, pubblicato in data 25 gennaio 2022, assegna all’Italia un punteggio di 56/100, con un guadagno di 3 punti rispetto allo scorso anno, e la classifica alla 42esima posizione sui 180 Paesi oggetto dell’indagine, con un guadagno di 10 posizioni sempre rispetto alla scorsa edizione.</w:t>
      </w:r>
    </w:p>
    <w:p w14:paraId="5FC9D32E" w14:textId="77777777" w:rsidR="00BE03D0" w:rsidRPr="00D86DC5" w:rsidRDefault="00BE03D0" w:rsidP="00582EFE">
      <w:pPr>
        <w:spacing w:after="0" w:line="276" w:lineRule="auto"/>
        <w:ind w:right="-1"/>
        <w:jc w:val="both"/>
        <w:rPr>
          <w:rFonts w:ascii="Garamond" w:eastAsia="Calibri" w:hAnsi="Garamond" w:cs="Times New Roman"/>
          <w:color w:val="000000"/>
          <w:sz w:val="23"/>
          <w:szCs w:val="23"/>
        </w:rPr>
      </w:pPr>
      <w:r w:rsidRPr="00D86DC5">
        <w:rPr>
          <w:rFonts w:ascii="Garamond" w:eastAsia="Calibri" w:hAnsi="Garamond" w:cs="Times New Roman"/>
          <w:color w:val="000000"/>
          <w:sz w:val="23"/>
          <w:szCs w:val="23"/>
        </w:rPr>
        <w:t>Continua pertanto il trend positivo che vede il nostro Paese guadagnare 14 punti dal 2012 ad oggi, e che conferma la costante attenzione al tema della corruzione in Italia.</w:t>
      </w:r>
    </w:p>
    <w:p w14:paraId="5CB77A27" w14:textId="77777777" w:rsidR="00BE03D0" w:rsidRPr="00D86DC5" w:rsidRDefault="00BE03D0" w:rsidP="00582EFE">
      <w:pPr>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In ambito europeo, dove il punteggio medio è di 64/100, l’Italia si colloca al 17° posto su 27 Paesi Membri dell’Unione Europea, occorre pertanto incrementare l’impegno delle Istituzioni e degli Enti per la lotta alla corruzione e la promozione della trasparenza per il conseguimento di risultati ancora più lodevoli per il nostro Paese.</w:t>
      </w:r>
    </w:p>
    <w:p w14:paraId="05D62055" w14:textId="227D326C" w:rsidR="00BE03D0" w:rsidRPr="00D86DC5" w:rsidRDefault="00BE03D0" w:rsidP="00582EFE">
      <w:pPr>
        <w:spacing w:after="0" w:line="276" w:lineRule="auto"/>
        <w:ind w:right="-1"/>
        <w:jc w:val="both"/>
        <w:rPr>
          <w:rFonts w:ascii="Garamond" w:eastAsia="Calibri" w:hAnsi="Garamond" w:cs="Times New Roman"/>
          <w:sz w:val="23"/>
          <w:szCs w:val="23"/>
        </w:rPr>
      </w:pPr>
      <w:r w:rsidRPr="00951F9A">
        <w:rPr>
          <w:rFonts w:ascii="Garamond" w:eastAsia="Calibri" w:hAnsi="Garamond" w:cs="Times New Roman"/>
          <w:sz w:val="23"/>
          <w:szCs w:val="23"/>
        </w:rPr>
        <w:t>Il rapporto CPI 2021 pone in evidenza la sfida che riguarderà l’Italia nei prossimi anni, ossia quella della piena realizzazione dei progetti previsti nelle missioni del Piano Nazionale di Ripresa e Resilienza (PNRR), evidenziando che il rilancio del Paese richiede la massima attenzione alla prevenzione dei rischi di corruzione.</w:t>
      </w:r>
      <w:r w:rsidR="004C2A0C">
        <w:rPr>
          <w:rFonts w:ascii="Garamond" w:eastAsia="Calibri" w:hAnsi="Garamond" w:cs="Times New Roman"/>
          <w:sz w:val="23"/>
          <w:szCs w:val="23"/>
        </w:rPr>
        <w:t xml:space="preserve"> </w:t>
      </w:r>
    </w:p>
    <w:p w14:paraId="695D04ED" w14:textId="1CBEE5E2" w:rsidR="00BF32B8" w:rsidRDefault="00BF32B8" w:rsidP="00582EFE">
      <w:pPr>
        <w:autoSpaceDE w:val="0"/>
        <w:autoSpaceDN w:val="0"/>
        <w:adjustRightInd w:val="0"/>
        <w:spacing w:after="0" w:line="276" w:lineRule="auto"/>
        <w:ind w:right="-1"/>
        <w:jc w:val="both"/>
        <w:rPr>
          <w:rFonts w:ascii="Garamond" w:eastAsia="Calibri" w:hAnsi="Garamond" w:cs="Times New Roman"/>
          <w:sz w:val="23"/>
          <w:szCs w:val="23"/>
        </w:rPr>
      </w:pPr>
    </w:p>
    <w:p w14:paraId="616A1618" w14:textId="77777777" w:rsidR="00080452" w:rsidRPr="00926B2D" w:rsidRDefault="00080452" w:rsidP="00582EFE">
      <w:pPr>
        <w:spacing w:after="0" w:line="276" w:lineRule="auto"/>
        <w:ind w:right="-1"/>
        <w:jc w:val="both"/>
        <w:rPr>
          <w:rFonts w:ascii="Garamond" w:eastAsia="Calibri" w:hAnsi="Garamond" w:cs="Times New Roman"/>
          <w:b/>
          <w:i/>
          <w:smallCaps/>
          <w:sz w:val="23"/>
          <w:szCs w:val="23"/>
        </w:rPr>
      </w:pPr>
      <w:bookmarkStart w:id="12" w:name="_Toc43329165"/>
      <w:bookmarkStart w:id="13" w:name="_Hlk101634755"/>
      <w:r w:rsidRPr="00926B2D">
        <w:rPr>
          <w:rFonts w:ascii="Garamond" w:eastAsia="Calibri" w:hAnsi="Garamond" w:cs="Times New Roman"/>
          <w:b/>
          <w:i/>
          <w:smallCaps/>
          <w:sz w:val="23"/>
          <w:szCs w:val="23"/>
        </w:rPr>
        <w:t>A</w:t>
      </w:r>
      <w:r w:rsidR="00E86305" w:rsidRPr="00926B2D">
        <w:rPr>
          <w:rFonts w:ascii="Garamond" w:eastAsia="Calibri" w:hAnsi="Garamond" w:cs="Times New Roman"/>
          <w:b/>
          <w:i/>
          <w:smallCaps/>
          <w:sz w:val="23"/>
          <w:szCs w:val="23"/>
        </w:rPr>
        <w:t>nalisi socio-criminologica</w:t>
      </w:r>
      <w:bookmarkEnd w:id="12"/>
    </w:p>
    <w:bookmarkEnd w:id="13"/>
    <w:p w14:paraId="3DDE725B" w14:textId="77777777" w:rsidR="001C11C2" w:rsidRPr="00D86DC5" w:rsidRDefault="00080452"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La relaz</w:t>
      </w:r>
      <w:r w:rsidR="004B4CD5" w:rsidRPr="00D86DC5">
        <w:rPr>
          <w:rFonts w:ascii="Garamond" w:eastAsia="Calibri" w:hAnsi="Garamond" w:cs="Times New Roman"/>
          <w:sz w:val="23"/>
          <w:szCs w:val="23"/>
        </w:rPr>
        <w:t>ione del primo semestre del 2021</w:t>
      </w:r>
      <w:r w:rsidRPr="00D86DC5">
        <w:rPr>
          <w:rFonts w:ascii="Garamond" w:eastAsia="Calibri" w:hAnsi="Garamond" w:cs="Times New Roman"/>
          <w:sz w:val="23"/>
          <w:szCs w:val="23"/>
        </w:rPr>
        <w:t xml:space="preserve"> della Direzione Investigativa Antimafia (DIA)</w:t>
      </w:r>
      <w:r w:rsidR="007B7206" w:rsidRPr="00D86DC5">
        <w:rPr>
          <w:rFonts w:ascii="Garamond" w:hAnsi="Garamond" w:cs="Times New Roman"/>
          <w:sz w:val="23"/>
          <w:szCs w:val="23"/>
        </w:rPr>
        <w:t xml:space="preserve"> evidenzia</w:t>
      </w:r>
      <w:r w:rsidR="00EE736C" w:rsidRPr="00D86DC5">
        <w:rPr>
          <w:rFonts w:ascii="Garamond" w:hAnsi="Garamond" w:cs="Times New Roman"/>
          <w:sz w:val="23"/>
          <w:szCs w:val="23"/>
        </w:rPr>
        <w:t xml:space="preserve"> che l’</w:t>
      </w:r>
      <w:r w:rsidR="001C11C2" w:rsidRPr="00D86DC5">
        <w:rPr>
          <w:rFonts w:ascii="Garamond" w:eastAsia="Calibri" w:hAnsi="Garamond" w:cs="Times New Roman"/>
          <w:sz w:val="23"/>
          <w:szCs w:val="23"/>
        </w:rPr>
        <w:t>analisi sull’andamento della delittuosità</w:t>
      </w:r>
      <w:r w:rsidR="00EE736C" w:rsidRPr="00D86DC5">
        <w:rPr>
          <w:rFonts w:ascii="Garamond" w:hAnsi="Garamond" w:cs="Times New Roman"/>
          <w:sz w:val="23"/>
          <w:szCs w:val="23"/>
        </w:rPr>
        <w:t xml:space="preserve"> a livello nazionale</w:t>
      </w:r>
      <w:r w:rsidR="001C11C2" w:rsidRPr="00D86DC5">
        <w:rPr>
          <w:rFonts w:ascii="Garamond" w:eastAsia="Calibri" w:hAnsi="Garamond" w:cs="Times New Roman"/>
          <w:sz w:val="23"/>
          <w:szCs w:val="23"/>
        </w:rPr>
        <w:t xml:space="preserve">, </w:t>
      </w:r>
      <w:r w:rsidR="00EE736C" w:rsidRPr="00D86DC5">
        <w:rPr>
          <w:rFonts w:ascii="Garamond" w:eastAsia="Calibri" w:hAnsi="Garamond" w:cs="Times New Roman"/>
          <w:sz w:val="23"/>
          <w:szCs w:val="23"/>
        </w:rPr>
        <w:t>che</w:t>
      </w:r>
      <w:r w:rsidR="001C11C2" w:rsidRPr="00D86DC5">
        <w:rPr>
          <w:rFonts w:ascii="Garamond" w:eastAsia="Calibri" w:hAnsi="Garamond" w:cs="Times New Roman"/>
          <w:sz w:val="23"/>
          <w:szCs w:val="23"/>
        </w:rPr>
        <w:t xml:space="preserve"> </w:t>
      </w:r>
      <w:r w:rsidR="00EE736C" w:rsidRPr="00D86DC5">
        <w:rPr>
          <w:rFonts w:ascii="Garamond" w:eastAsia="Calibri" w:hAnsi="Garamond" w:cs="Times New Roman"/>
          <w:sz w:val="23"/>
          <w:szCs w:val="23"/>
        </w:rPr>
        <w:t>permane</w:t>
      </w:r>
      <w:r w:rsidR="001C11C2" w:rsidRPr="00D86DC5">
        <w:rPr>
          <w:rFonts w:ascii="Garamond" w:eastAsia="Calibri" w:hAnsi="Garamond" w:cs="Times New Roman"/>
          <w:sz w:val="23"/>
          <w:szCs w:val="23"/>
        </w:rPr>
        <w:t xml:space="preserve"> connotato dal perdurare della pandemia da Covid-19, continua a mostrare come le organizzazioni criminali si stanno muovendo secondo una strategia tesa a consolidare il controllo del</w:t>
      </w:r>
      <w:r w:rsidR="00EE736C" w:rsidRPr="00D86DC5">
        <w:rPr>
          <w:rFonts w:ascii="Garamond" w:eastAsia="Calibri" w:hAnsi="Garamond" w:cs="Times New Roman"/>
          <w:sz w:val="23"/>
          <w:szCs w:val="23"/>
        </w:rPr>
        <w:t xml:space="preserve"> </w:t>
      </w:r>
      <w:r w:rsidR="001C11C2" w:rsidRPr="00D86DC5">
        <w:rPr>
          <w:rFonts w:ascii="Garamond" w:eastAsia="Calibri" w:hAnsi="Garamond" w:cs="Times New Roman"/>
          <w:sz w:val="23"/>
          <w:szCs w:val="23"/>
        </w:rPr>
        <w:t>territorio. Quest’ultimo fattore è ritenuto, infatti, elemento fondamentale per la loro stessa sopravvivenza e condizione imprescindibile per qualsiasi strategia criminale di accumulo di</w:t>
      </w:r>
      <w:r w:rsidR="00EE736C" w:rsidRPr="00D86DC5">
        <w:rPr>
          <w:rFonts w:ascii="Garamond" w:eastAsia="Calibri" w:hAnsi="Garamond" w:cs="Times New Roman"/>
          <w:sz w:val="23"/>
          <w:szCs w:val="23"/>
        </w:rPr>
        <w:t xml:space="preserve"> </w:t>
      </w:r>
      <w:r w:rsidR="001C11C2" w:rsidRPr="00D86DC5">
        <w:rPr>
          <w:rFonts w:ascii="Garamond" w:eastAsia="Calibri" w:hAnsi="Garamond" w:cs="Times New Roman"/>
          <w:sz w:val="23"/>
          <w:szCs w:val="23"/>
        </w:rPr>
        <w:t>ricchezza. L’immediata disponibilità dei capitali illecitamente acquisiti dalle mafie potrebbe</w:t>
      </w:r>
      <w:r w:rsidR="00EE736C" w:rsidRPr="00D86DC5">
        <w:rPr>
          <w:rFonts w:ascii="Garamond" w:eastAsia="Calibri" w:hAnsi="Garamond" w:cs="Times New Roman"/>
          <w:sz w:val="23"/>
          <w:szCs w:val="23"/>
        </w:rPr>
        <w:t xml:space="preserve"> </w:t>
      </w:r>
      <w:r w:rsidR="001C11C2" w:rsidRPr="00D86DC5">
        <w:rPr>
          <w:rFonts w:ascii="Garamond" w:eastAsia="Calibri" w:hAnsi="Garamond" w:cs="Times New Roman"/>
          <w:sz w:val="23"/>
          <w:szCs w:val="23"/>
        </w:rPr>
        <w:t>incidere, mediante le attività di riciclaggio, sulla capacità dei sodalizi di inquinare l’economia</w:t>
      </w:r>
      <w:r w:rsidR="00EE736C" w:rsidRPr="00D86DC5">
        <w:rPr>
          <w:rFonts w:ascii="Garamond" w:eastAsia="Calibri" w:hAnsi="Garamond" w:cs="Times New Roman"/>
          <w:sz w:val="23"/>
          <w:szCs w:val="23"/>
        </w:rPr>
        <w:t xml:space="preserve"> </w:t>
      </w:r>
      <w:r w:rsidR="001C11C2" w:rsidRPr="00D86DC5">
        <w:rPr>
          <w:rFonts w:ascii="Garamond" w:eastAsia="Calibri" w:hAnsi="Garamond" w:cs="Times New Roman"/>
          <w:sz w:val="23"/>
          <w:szCs w:val="23"/>
        </w:rPr>
        <w:t>e di infiltrare la pubblica amministrazione per intercettare le risorse pubbliche immesse nel</w:t>
      </w:r>
      <w:r w:rsidR="00EE736C" w:rsidRPr="00D86DC5">
        <w:rPr>
          <w:rFonts w:ascii="Garamond" w:eastAsia="Calibri" w:hAnsi="Garamond" w:cs="Times New Roman"/>
          <w:sz w:val="23"/>
          <w:szCs w:val="23"/>
        </w:rPr>
        <w:t xml:space="preserve"> </w:t>
      </w:r>
      <w:r w:rsidR="001C11C2" w:rsidRPr="00D86DC5">
        <w:rPr>
          <w:rFonts w:ascii="Garamond" w:eastAsia="Calibri" w:hAnsi="Garamond" w:cs="Times New Roman"/>
          <w:sz w:val="23"/>
          <w:szCs w:val="23"/>
        </w:rPr>
        <w:t>ciclo produttivo.</w:t>
      </w:r>
    </w:p>
    <w:p w14:paraId="19D5EC85" w14:textId="77777777" w:rsidR="001C11C2" w:rsidRPr="00D86DC5" w:rsidRDefault="00EE736C"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lastRenderedPageBreak/>
        <w:t>Sul fronte economico ci si trova oggi di fronte ad uno scenario complesso all’interno del quale tutte le mafie tenderebbero a operare anche secondo logiche imprenditoriali variabili e calibrate sulla base delle realtà locali.</w:t>
      </w:r>
    </w:p>
    <w:p w14:paraId="3EDF6D87" w14:textId="77777777" w:rsidR="001C11C2" w:rsidRPr="00D86DC5" w:rsidRDefault="00EE736C"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In particolare, i</w:t>
      </w:r>
      <w:r w:rsidR="001C11C2" w:rsidRPr="00D86DC5">
        <w:rPr>
          <w:rFonts w:ascii="Garamond" w:eastAsia="Calibri" w:hAnsi="Garamond" w:cs="Times New Roman"/>
          <w:sz w:val="23"/>
          <w:szCs w:val="23"/>
        </w:rPr>
        <w:t>n Abruzzo nell’arco temporale in trattazione non si sono verificati episodi delittuosi riconducibili</w:t>
      </w:r>
      <w:r w:rsidRPr="00D86DC5">
        <w:rPr>
          <w:rFonts w:ascii="Garamond" w:eastAsia="Calibri" w:hAnsi="Garamond" w:cs="Times New Roman"/>
          <w:sz w:val="23"/>
          <w:szCs w:val="23"/>
        </w:rPr>
        <w:t xml:space="preserve"> </w:t>
      </w:r>
      <w:r w:rsidR="001C11C2" w:rsidRPr="00D86DC5">
        <w:rPr>
          <w:rFonts w:ascii="Garamond" w:eastAsia="Calibri" w:hAnsi="Garamond" w:cs="Times New Roman"/>
          <w:sz w:val="23"/>
          <w:szCs w:val="23"/>
        </w:rPr>
        <w:t>alla criminalità organizzata tantomeno condotte spia che facciano ipotizzare il consolidamento</w:t>
      </w:r>
      <w:r w:rsidRPr="00D86DC5">
        <w:rPr>
          <w:rFonts w:ascii="Garamond" w:eastAsia="Calibri" w:hAnsi="Garamond" w:cs="Times New Roman"/>
          <w:sz w:val="23"/>
          <w:szCs w:val="23"/>
        </w:rPr>
        <w:t xml:space="preserve"> </w:t>
      </w:r>
      <w:r w:rsidR="001C11C2" w:rsidRPr="00D86DC5">
        <w:rPr>
          <w:rFonts w:ascii="Garamond" w:eastAsia="Calibri" w:hAnsi="Garamond" w:cs="Times New Roman"/>
          <w:sz w:val="23"/>
          <w:szCs w:val="23"/>
        </w:rPr>
        <w:t>di gruppi criminali organizzati stanziali. Sul fenomeno e sui possibili tentativi di</w:t>
      </w:r>
      <w:r w:rsidRPr="00D86DC5">
        <w:rPr>
          <w:rFonts w:ascii="Garamond" w:eastAsia="Calibri" w:hAnsi="Garamond" w:cs="Times New Roman"/>
          <w:sz w:val="23"/>
          <w:szCs w:val="23"/>
        </w:rPr>
        <w:t xml:space="preserve"> </w:t>
      </w:r>
      <w:r w:rsidR="001C11C2" w:rsidRPr="00D86DC5">
        <w:rPr>
          <w:rFonts w:ascii="Garamond" w:eastAsia="Calibri" w:hAnsi="Garamond" w:cs="Times New Roman"/>
          <w:sz w:val="23"/>
          <w:szCs w:val="23"/>
        </w:rPr>
        <w:t>penetrazione nel territorio provinciale da parte di consorterie criminali riconducibili a camorra,</w:t>
      </w:r>
      <w:r w:rsidRPr="00D86DC5">
        <w:rPr>
          <w:rFonts w:ascii="Garamond" w:eastAsia="Calibri" w:hAnsi="Garamond" w:cs="Times New Roman"/>
          <w:sz w:val="23"/>
          <w:szCs w:val="23"/>
        </w:rPr>
        <w:t xml:space="preserve"> </w:t>
      </w:r>
      <w:r w:rsidR="001C11C2" w:rsidRPr="00D86DC5">
        <w:rPr>
          <w:rFonts w:ascii="Garamond" w:eastAsia="Calibri" w:hAnsi="Garamond" w:cs="Times New Roman"/>
          <w:sz w:val="23"/>
          <w:szCs w:val="23"/>
        </w:rPr>
        <w:t>sacra corona unita, ‘ndrangheta e mafia siciliana permangono invece concreti i rischi di infiltrazione</w:t>
      </w:r>
      <w:r w:rsidRPr="00D86DC5">
        <w:rPr>
          <w:rFonts w:ascii="Garamond" w:eastAsia="Calibri" w:hAnsi="Garamond" w:cs="Times New Roman"/>
          <w:sz w:val="23"/>
          <w:szCs w:val="23"/>
        </w:rPr>
        <w:t xml:space="preserve"> </w:t>
      </w:r>
      <w:r w:rsidR="001C11C2" w:rsidRPr="00D86DC5">
        <w:rPr>
          <w:rFonts w:ascii="Garamond" w:eastAsia="Calibri" w:hAnsi="Garamond" w:cs="Times New Roman"/>
          <w:sz w:val="23"/>
          <w:szCs w:val="23"/>
        </w:rPr>
        <w:t>criminale attraverso imprese legate a sodalizi extraregionali tuttora verosimilmente</w:t>
      </w:r>
      <w:r w:rsidRPr="00D86DC5">
        <w:rPr>
          <w:rFonts w:ascii="Garamond" w:eastAsia="Calibri" w:hAnsi="Garamond" w:cs="Times New Roman"/>
          <w:sz w:val="23"/>
          <w:szCs w:val="23"/>
        </w:rPr>
        <w:t xml:space="preserve"> </w:t>
      </w:r>
      <w:r w:rsidR="001C11C2" w:rsidRPr="00D86DC5">
        <w:rPr>
          <w:rFonts w:ascii="Garamond" w:eastAsia="Calibri" w:hAnsi="Garamond" w:cs="Times New Roman"/>
          <w:sz w:val="23"/>
          <w:szCs w:val="23"/>
        </w:rPr>
        <w:t>attratte dai cospicui finanziamenti stanziati per la ricostruzione “post sisma”.</w:t>
      </w:r>
    </w:p>
    <w:p w14:paraId="1C79AB43" w14:textId="77777777" w:rsidR="00EE736C" w:rsidRPr="00D86DC5" w:rsidRDefault="00EE736C"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In Abruzzo</w:t>
      </w:r>
      <w:r w:rsidR="000A0DCB" w:rsidRPr="00D86DC5">
        <w:rPr>
          <w:rFonts w:ascii="Garamond" w:eastAsia="Calibri" w:hAnsi="Garamond" w:cs="Times New Roman"/>
          <w:sz w:val="23"/>
          <w:szCs w:val="23"/>
        </w:rPr>
        <w:t>,</w:t>
      </w:r>
      <w:r w:rsidRPr="00D86DC5">
        <w:rPr>
          <w:rFonts w:ascii="Garamond" w:eastAsia="Calibri" w:hAnsi="Garamond" w:cs="Times New Roman"/>
          <w:sz w:val="23"/>
          <w:szCs w:val="23"/>
        </w:rPr>
        <w:t xml:space="preserve"> stante i poteri delegati dal legislatore che attribuiscono al Prefetto di L’Aquila un</w:t>
      </w:r>
      <w:r w:rsidR="000A0DCB" w:rsidRPr="00D86DC5">
        <w:rPr>
          <w:rFonts w:ascii="Garamond" w:eastAsia="Calibri" w:hAnsi="Garamond" w:cs="Times New Roman"/>
          <w:sz w:val="23"/>
          <w:szCs w:val="23"/>
        </w:rPr>
        <w:t xml:space="preserve"> </w:t>
      </w:r>
      <w:r w:rsidRPr="00D86DC5">
        <w:rPr>
          <w:rFonts w:ascii="Garamond" w:eastAsia="Calibri" w:hAnsi="Garamond" w:cs="Times New Roman"/>
          <w:sz w:val="23"/>
          <w:szCs w:val="23"/>
        </w:rPr>
        <w:t>ruolo preminente nel sistema dei controlli</w:t>
      </w:r>
      <w:r w:rsidR="000A0DCB" w:rsidRPr="00D86DC5">
        <w:rPr>
          <w:rFonts w:ascii="Garamond" w:eastAsia="Calibri" w:hAnsi="Garamond" w:cs="Times New Roman"/>
          <w:sz w:val="23"/>
          <w:szCs w:val="23"/>
        </w:rPr>
        <w:t>,</w:t>
      </w:r>
      <w:r w:rsidRPr="00D86DC5">
        <w:rPr>
          <w:rFonts w:ascii="Garamond" w:eastAsia="Calibri" w:hAnsi="Garamond" w:cs="Times New Roman"/>
          <w:sz w:val="23"/>
          <w:szCs w:val="23"/>
        </w:rPr>
        <w:t xml:space="preserve"> si sottolinea l’impegno da parte di quella Prefettura</w:t>
      </w:r>
      <w:r w:rsidR="000A0DCB" w:rsidRPr="00D86DC5">
        <w:rPr>
          <w:rFonts w:ascii="Garamond" w:eastAsia="Calibri" w:hAnsi="Garamond" w:cs="Times New Roman"/>
          <w:sz w:val="23"/>
          <w:szCs w:val="23"/>
        </w:rPr>
        <w:t xml:space="preserve"> </w:t>
      </w:r>
      <w:r w:rsidRPr="00D86DC5">
        <w:rPr>
          <w:rFonts w:ascii="Garamond" w:eastAsia="Calibri" w:hAnsi="Garamond" w:cs="Times New Roman"/>
          <w:sz w:val="23"/>
          <w:szCs w:val="23"/>
        </w:rPr>
        <w:t>nell’ambito del contrasto alle infiltrazioni mafiose negli appalti pubblici e nelle commesse private legate alla ricostruzione post sisma 2009.</w:t>
      </w:r>
    </w:p>
    <w:p w14:paraId="02ABED4E" w14:textId="77777777" w:rsidR="00EE736C" w:rsidRPr="00D86DC5" w:rsidRDefault="00EE736C"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A tale riguardo prosegue costante ed efficace l’attività del Gruppo Provinciale Interforze nel</w:t>
      </w:r>
      <w:r w:rsidR="000A0DCB" w:rsidRPr="00D86DC5">
        <w:rPr>
          <w:rFonts w:ascii="Garamond" w:eastAsia="Calibri" w:hAnsi="Garamond" w:cs="Times New Roman"/>
          <w:sz w:val="23"/>
          <w:szCs w:val="23"/>
        </w:rPr>
        <w:t xml:space="preserve"> </w:t>
      </w:r>
      <w:r w:rsidRPr="00D86DC5">
        <w:rPr>
          <w:rFonts w:ascii="Garamond" w:eastAsia="Calibri" w:hAnsi="Garamond" w:cs="Times New Roman"/>
          <w:sz w:val="23"/>
          <w:szCs w:val="23"/>
        </w:rPr>
        <w:t>controllo delle ditte che operano nei cantieri provinciali e nel cratere sismico al fine di prevenire l’infiltrazione mafiosa negli appalti per la ricostruzione degli edifici pubblici e privati.</w:t>
      </w:r>
    </w:p>
    <w:p w14:paraId="18BB7326" w14:textId="77777777" w:rsidR="001C11C2" w:rsidRPr="00D86DC5" w:rsidRDefault="00EE736C" w:rsidP="00582EFE">
      <w:pPr>
        <w:autoSpaceDE w:val="0"/>
        <w:autoSpaceDN w:val="0"/>
        <w:adjustRightInd w:val="0"/>
        <w:spacing w:after="0" w:line="276" w:lineRule="auto"/>
        <w:ind w:right="-1"/>
        <w:jc w:val="both"/>
        <w:rPr>
          <w:rFonts w:ascii="Garamond" w:eastAsia="Calibri" w:hAnsi="Garamond" w:cs="Times New Roman"/>
          <w:sz w:val="23"/>
          <w:szCs w:val="23"/>
        </w:rPr>
      </w:pPr>
      <w:r w:rsidRPr="00504490">
        <w:rPr>
          <w:rFonts w:ascii="Garamond" w:eastAsia="Calibri" w:hAnsi="Garamond" w:cs="Times New Roman"/>
          <w:sz w:val="23"/>
          <w:szCs w:val="23"/>
        </w:rPr>
        <w:t>Proprio in relazione ai rischi di infiltrazione da parte di organizzazioni</w:t>
      </w:r>
      <w:r w:rsidR="000A0DCB" w:rsidRPr="00504490">
        <w:rPr>
          <w:rFonts w:ascii="Garamond" w:eastAsia="Calibri" w:hAnsi="Garamond" w:cs="Times New Roman"/>
          <w:sz w:val="23"/>
          <w:szCs w:val="23"/>
        </w:rPr>
        <w:t xml:space="preserve"> criminali extraregionali giova </w:t>
      </w:r>
      <w:r w:rsidRPr="00504490">
        <w:rPr>
          <w:rFonts w:ascii="Garamond" w:eastAsia="Calibri" w:hAnsi="Garamond" w:cs="Times New Roman"/>
          <w:sz w:val="23"/>
          <w:szCs w:val="23"/>
        </w:rPr>
        <w:t>ricordare che il 2 febbraio 2021 è stato stipulato con l’ANAC e i Presidenti delle</w:t>
      </w:r>
      <w:r w:rsidR="000A0DCB" w:rsidRPr="00504490">
        <w:rPr>
          <w:rFonts w:ascii="Garamond" w:eastAsia="Calibri" w:hAnsi="Garamond" w:cs="Times New Roman"/>
          <w:sz w:val="23"/>
          <w:szCs w:val="23"/>
        </w:rPr>
        <w:t xml:space="preserve"> </w:t>
      </w:r>
      <w:r w:rsidRPr="00504490">
        <w:rPr>
          <w:rFonts w:ascii="Garamond" w:eastAsia="Calibri" w:hAnsi="Garamond" w:cs="Times New Roman"/>
          <w:sz w:val="23"/>
          <w:szCs w:val="23"/>
        </w:rPr>
        <w:t>Regioni Abruzzo, Lazio, Umbria e Marche l’“</w:t>
      </w:r>
      <w:r w:rsidRPr="00504490">
        <w:rPr>
          <w:rFonts w:ascii="Garamond" w:eastAsia="Calibri" w:hAnsi="Garamond" w:cs="Times New Roman"/>
          <w:i/>
          <w:sz w:val="23"/>
          <w:szCs w:val="23"/>
        </w:rPr>
        <w:t>Accordo per l’esercizio dei compiti di alta sorveglianza</w:t>
      </w:r>
      <w:r w:rsidR="000A0DCB" w:rsidRPr="00504490">
        <w:rPr>
          <w:rFonts w:ascii="Garamond" w:eastAsia="Calibri" w:hAnsi="Garamond" w:cs="Times New Roman"/>
          <w:i/>
          <w:sz w:val="23"/>
          <w:szCs w:val="23"/>
        </w:rPr>
        <w:t xml:space="preserve"> </w:t>
      </w:r>
      <w:r w:rsidRPr="00504490">
        <w:rPr>
          <w:rFonts w:ascii="Garamond" w:eastAsia="Calibri" w:hAnsi="Garamond" w:cs="Times New Roman"/>
          <w:i/>
          <w:sz w:val="23"/>
          <w:szCs w:val="23"/>
        </w:rPr>
        <w:t>e di garanzia della correttezza e della trasparenza delle procedure connesse alla ricostruzione pubblica</w:t>
      </w:r>
      <w:r w:rsidR="000A0DCB" w:rsidRPr="00504490">
        <w:rPr>
          <w:rFonts w:ascii="Garamond" w:eastAsia="Calibri" w:hAnsi="Garamond" w:cs="Times New Roman"/>
          <w:i/>
          <w:sz w:val="23"/>
          <w:szCs w:val="23"/>
        </w:rPr>
        <w:t xml:space="preserve"> </w:t>
      </w:r>
      <w:r w:rsidRPr="00504490">
        <w:rPr>
          <w:rFonts w:ascii="Garamond" w:eastAsia="Calibri" w:hAnsi="Garamond" w:cs="Times New Roman"/>
          <w:i/>
          <w:sz w:val="23"/>
          <w:szCs w:val="23"/>
        </w:rPr>
        <w:t>post-sisma</w:t>
      </w:r>
      <w:r w:rsidRPr="00504490">
        <w:rPr>
          <w:rFonts w:ascii="Garamond" w:eastAsia="Calibri" w:hAnsi="Garamond" w:cs="Times New Roman"/>
          <w:sz w:val="23"/>
          <w:szCs w:val="23"/>
        </w:rPr>
        <w:t>” che ha ulteriormente regolamentato le attività di vigilanza e di verifica preventiva</w:t>
      </w:r>
      <w:r w:rsidR="000A0DCB" w:rsidRPr="00504490">
        <w:rPr>
          <w:rFonts w:ascii="Garamond" w:eastAsia="Calibri" w:hAnsi="Garamond" w:cs="Times New Roman"/>
          <w:sz w:val="23"/>
          <w:szCs w:val="23"/>
        </w:rPr>
        <w:t xml:space="preserve"> </w:t>
      </w:r>
      <w:r w:rsidRPr="00504490">
        <w:rPr>
          <w:rFonts w:ascii="Garamond" w:eastAsia="Calibri" w:hAnsi="Garamond" w:cs="Times New Roman"/>
          <w:sz w:val="23"/>
          <w:szCs w:val="23"/>
        </w:rPr>
        <w:t>sulla legittimità degli atti afferenti all’affidamento e all’esecuzione dei contratti da parte del</w:t>
      </w:r>
      <w:r w:rsidR="000A0DCB" w:rsidRPr="00504490">
        <w:rPr>
          <w:rFonts w:ascii="Garamond" w:eastAsia="Calibri" w:hAnsi="Garamond" w:cs="Times New Roman"/>
          <w:sz w:val="23"/>
          <w:szCs w:val="23"/>
        </w:rPr>
        <w:t xml:space="preserve"> </w:t>
      </w:r>
      <w:r w:rsidRPr="00504490">
        <w:rPr>
          <w:rFonts w:ascii="Garamond" w:eastAsia="Calibri" w:hAnsi="Garamond" w:cs="Times New Roman"/>
          <w:sz w:val="23"/>
          <w:szCs w:val="23"/>
        </w:rPr>
        <w:t>Presidente dell’ANAC e dell’Unità Operativa Speciale.</w:t>
      </w:r>
    </w:p>
    <w:p w14:paraId="6A3D39EB" w14:textId="77777777" w:rsidR="00EE736C" w:rsidRPr="00D61190" w:rsidRDefault="000A0DCB" w:rsidP="00582EFE">
      <w:pPr>
        <w:autoSpaceDE w:val="0"/>
        <w:autoSpaceDN w:val="0"/>
        <w:adjustRightInd w:val="0"/>
        <w:spacing w:after="0" w:line="276" w:lineRule="auto"/>
        <w:ind w:right="-1"/>
        <w:jc w:val="both"/>
        <w:rPr>
          <w:rFonts w:ascii="Garamond" w:eastAsia="Calibri" w:hAnsi="Garamond" w:cs="Times New Roman"/>
          <w:sz w:val="23"/>
          <w:szCs w:val="23"/>
        </w:rPr>
      </w:pPr>
      <w:r w:rsidRPr="00D61190">
        <w:rPr>
          <w:rFonts w:ascii="Garamond" w:eastAsia="Calibri" w:hAnsi="Garamond" w:cs="Times New Roman"/>
          <w:sz w:val="23"/>
          <w:szCs w:val="23"/>
        </w:rPr>
        <w:t>Relativamente a dinamiche delinquenziali in genere è importante sottolineare che nel territorio abruzzese si evidenzia una sostanziale differenza tra la fascia costiera e quella appenninica laddove la prima si caratterizza per sviluppi di maggiore impatto sulla sicurezza e ordine pubblico quali lo spaccio degli stupefacenti, le estorsioni, lo sfruttamento della prostituzione, i reati predatori favoriti da una maggiore presenza di gruppi criminali pugliesi e di matrice straniera. L’altra invece è risultata maggiormente esposta a fenomeni di infiltrazione economica in parte originate dalle vicine realtà campana e laziale.</w:t>
      </w:r>
    </w:p>
    <w:p w14:paraId="49E3D74B" w14:textId="6B53CB3F" w:rsidR="00EE736C" w:rsidRPr="004C2A0C" w:rsidRDefault="000A0DCB" w:rsidP="00582EFE">
      <w:pPr>
        <w:autoSpaceDE w:val="0"/>
        <w:autoSpaceDN w:val="0"/>
        <w:adjustRightInd w:val="0"/>
        <w:spacing w:after="0" w:line="276" w:lineRule="auto"/>
        <w:ind w:right="-1"/>
        <w:jc w:val="both"/>
        <w:rPr>
          <w:rFonts w:ascii="Garamond" w:eastAsia="Calibri" w:hAnsi="Garamond" w:cs="Times New Roman"/>
          <w:color w:val="00B050"/>
          <w:sz w:val="23"/>
          <w:szCs w:val="23"/>
        </w:rPr>
      </w:pPr>
      <w:r w:rsidRPr="00D61190">
        <w:rPr>
          <w:rFonts w:ascii="Garamond" w:eastAsia="Calibri" w:hAnsi="Garamond" w:cs="Times New Roman"/>
          <w:sz w:val="23"/>
          <w:szCs w:val="23"/>
        </w:rPr>
        <w:t>Sul fronte del traffico illecito dei rifiuti e la gestione non autorizzata degli stessi si segnala l’operazione dei Carabinieri del Nucleo investigativo di Foggia e del N.O.E. di Bari e Pescara che il 21 aprile 2021 hanno eseguito un’ordinanza di custodia cautelare nei confronti di 6 persone nell’ambito dell’operazione “</w:t>
      </w:r>
      <w:r w:rsidRPr="00D61190">
        <w:rPr>
          <w:rFonts w:ascii="Garamond" w:eastAsia="Calibri" w:hAnsi="Garamond" w:cs="Times New Roman"/>
          <w:i/>
          <w:sz w:val="23"/>
          <w:szCs w:val="23"/>
        </w:rPr>
        <w:t>Eco</w:t>
      </w:r>
      <w:r w:rsidRPr="00D61190">
        <w:rPr>
          <w:rFonts w:ascii="Garamond" w:eastAsia="Calibri" w:hAnsi="Garamond" w:cs="Times New Roman"/>
          <w:sz w:val="23"/>
          <w:szCs w:val="23"/>
        </w:rPr>
        <w:t xml:space="preserve">”. L’attività di indagine ha avuto inizio nel 2018 a seguito del sequestro di due discariche abusive rinvenute nei pressi di San Severo (FG). Successivamente l’inchiesta ha fatto emergere l’esistenza di un sistema criminale promosso da un gruppo di imprenditori di San Severo e della provincia di Caserta finalizzato all’illecita movimentazione di rifiuti speciali derivanti dallo scarto di rifiuti solidi urbani provenienti dalla Campania, nonché al successivo smaltimento in discariche abusive. Sono state rinvenute e sequestrate oltre 13 mila tonnellate di rifiuti non speciali (compattati in </w:t>
      </w:r>
      <w:proofErr w:type="spellStart"/>
      <w:r w:rsidRPr="00D61190">
        <w:rPr>
          <w:rFonts w:ascii="Garamond" w:eastAsia="Calibri" w:hAnsi="Garamond" w:cs="Times New Roman"/>
          <w:sz w:val="23"/>
          <w:szCs w:val="23"/>
        </w:rPr>
        <w:t>ecoballe</w:t>
      </w:r>
      <w:proofErr w:type="spellEnd"/>
      <w:r w:rsidRPr="00D61190">
        <w:rPr>
          <w:rFonts w:ascii="Garamond" w:eastAsia="Calibri" w:hAnsi="Garamond" w:cs="Times New Roman"/>
          <w:sz w:val="23"/>
          <w:szCs w:val="23"/>
        </w:rPr>
        <w:t>) e stoccati tra la Puglia (San Severo) e l’Abruzzo (Vasto).</w:t>
      </w:r>
      <w:r w:rsidR="004C2A0C">
        <w:rPr>
          <w:rFonts w:ascii="Garamond" w:eastAsia="Calibri" w:hAnsi="Garamond" w:cs="Times New Roman"/>
          <w:color w:val="00B050"/>
          <w:sz w:val="23"/>
          <w:szCs w:val="23"/>
        </w:rPr>
        <w:t xml:space="preserve"> </w:t>
      </w:r>
    </w:p>
    <w:p w14:paraId="44C739CE" w14:textId="5F41D2A9" w:rsidR="00EE736C" w:rsidRPr="00D86DC5" w:rsidRDefault="000A0DCB"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L’Abruzzo</w:t>
      </w:r>
      <w:r w:rsidR="00D61190">
        <w:rPr>
          <w:rFonts w:ascii="Garamond" w:eastAsia="Calibri" w:hAnsi="Garamond" w:cs="Times New Roman"/>
          <w:sz w:val="23"/>
          <w:szCs w:val="23"/>
        </w:rPr>
        <w:t>,</w:t>
      </w:r>
      <w:r w:rsidRPr="00D86DC5">
        <w:rPr>
          <w:rFonts w:ascii="Garamond" w:eastAsia="Calibri" w:hAnsi="Garamond" w:cs="Times New Roman"/>
          <w:sz w:val="23"/>
          <w:szCs w:val="23"/>
        </w:rPr>
        <w:t xml:space="preserve"> dunque</w:t>
      </w:r>
      <w:r w:rsidR="00D61190">
        <w:rPr>
          <w:rFonts w:ascii="Garamond" w:eastAsia="Calibri" w:hAnsi="Garamond" w:cs="Times New Roman"/>
          <w:sz w:val="23"/>
          <w:szCs w:val="23"/>
        </w:rPr>
        <w:t>,</w:t>
      </w:r>
      <w:r w:rsidRPr="00D86DC5">
        <w:rPr>
          <w:rFonts w:ascii="Garamond" w:eastAsia="Calibri" w:hAnsi="Garamond" w:cs="Times New Roman"/>
          <w:sz w:val="23"/>
          <w:szCs w:val="23"/>
        </w:rPr>
        <w:t xml:space="preserve"> non appare immune agli interessi delle organizzazioni criminali sebbene come più volte ribadito non si registrano presenze radicate di sodalizi mafiosi nella Regione.</w:t>
      </w:r>
    </w:p>
    <w:p w14:paraId="2A015A58" w14:textId="77777777" w:rsidR="00BA46AB" w:rsidRPr="00D86DC5" w:rsidRDefault="00BA46AB"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Consultando gli approfondimenti sulle specificità provinciali dell’Abruzzo, si rileva quanto segue.</w:t>
      </w:r>
    </w:p>
    <w:p w14:paraId="10F3B8E4" w14:textId="77777777" w:rsidR="000A0DCB" w:rsidRPr="00D86DC5" w:rsidRDefault="00BA46AB"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In provincia di L’Aquila resta dominante la realizzazione degli interventi per la ricostruzione post sisma, di conseguenza appare alta l’attenzione delle consorterie criminali per gli stanziamenti di fondi pubblici finalizzati alla ricostruzione della città.</w:t>
      </w:r>
    </w:p>
    <w:p w14:paraId="7108AAE9" w14:textId="77777777" w:rsidR="00BA46AB" w:rsidRPr="00D86DC5" w:rsidRDefault="00BA46AB"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La provincia di Chieti non sarebbe attualmente stabilmente interessata da fenomeni collegati alla criminalità organizzata. La presenza di soggetti comunque in qualche modo collegati a consorterie criminali, si pone come elemento di criticità per lo sviluppo della vita economico-sociale della provincia attraverso i tentativi di inquinamento nell’economia legale e nei processi produttivi</w:t>
      </w:r>
      <w:r w:rsidR="009076EC" w:rsidRPr="00D86DC5">
        <w:rPr>
          <w:rFonts w:ascii="Garamond" w:eastAsia="Calibri" w:hAnsi="Garamond" w:cs="Times New Roman"/>
          <w:sz w:val="23"/>
          <w:szCs w:val="23"/>
        </w:rPr>
        <w:t>.</w:t>
      </w:r>
    </w:p>
    <w:p w14:paraId="7491B3AA" w14:textId="0F848370" w:rsidR="009076EC" w:rsidRPr="00D86DC5" w:rsidRDefault="009076EC"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lastRenderedPageBreak/>
        <w:t xml:space="preserve">La provincia di Pescara, mantiene sempre alto il rischio di infiltrazione criminale stante la peculiarità del vivace tessuto socio-economico dell’area. </w:t>
      </w:r>
      <w:r w:rsidRPr="00963794">
        <w:rPr>
          <w:rFonts w:ascii="Garamond" w:eastAsia="Calibri" w:hAnsi="Garamond" w:cs="Times New Roman"/>
          <w:sz w:val="23"/>
          <w:szCs w:val="23"/>
        </w:rPr>
        <w:t>Il capoluogo</w:t>
      </w:r>
      <w:r w:rsidR="004C2A0C" w:rsidRPr="00963794">
        <w:rPr>
          <w:rFonts w:ascii="Garamond" w:eastAsia="Calibri" w:hAnsi="Garamond" w:cs="Times New Roman"/>
          <w:sz w:val="23"/>
          <w:szCs w:val="23"/>
        </w:rPr>
        <w:t xml:space="preserve"> di provincia</w:t>
      </w:r>
      <w:r w:rsidRPr="00963794">
        <w:rPr>
          <w:rFonts w:ascii="Garamond" w:eastAsia="Calibri" w:hAnsi="Garamond" w:cs="Times New Roman"/>
          <w:sz w:val="23"/>
          <w:szCs w:val="23"/>
        </w:rPr>
        <w:t>, che rappresenta il più grande centro urbano della Regione, è anche uno snodo autostradale e ferroviario di principale importanza per quanto riguarda i collegamenti tra Roma ed il sud Italia ed è sede di uno dei più grandi porti marittimi della Regione.</w:t>
      </w:r>
    </w:p>
    <w:p w14:paraId="14A666E3" w14:textId="77777777" w:rsidR="000A0DCB" w:rsidRPr="00D86DC5" w:rsidRDefault="009076EC"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Nella provincia di Teramo, taluni indicatori scaturiti dall’attività preventiva antimafia nel recente passato, sembrerebbero rilevare l’interesse della criminalità calabrese per gli investimenti nell’economia legale dell’area. Vengono inoltre segnalati</w:t>
      </w:r>
      <w:r w:rsidRPr="00D86DC5">
        <w:rPr>
          <w:rFonts w:ascii="Garamond" w:hAnsi="Garamond" w:cs="Times New Roman"/>
          <w:sz w:val="23"/>
          <w:szCs w:val="23"/>
        </w:rPr>
        <w:t xml:space="preserve"> </w:t>
      </w:r>
      <w:r w:rsidRPr="00D86DC5">
        <w:rPr>
          <w:rFonts w:ascii="Garamond" w:eastAsia="Calibri" w:hAnsi="Garamond" w:cs="Times New Roman"/>
          <w:sz w:val="23"/>
          <w:szCs w:val="23"/>
        </w:rPr>
        <w:t>sodalizi criminali autoctoni e gruppi criminali composti da stranieri</w:t>
      </w:r>
      <w:r w:rsidR="0009793D" w:rsidRPr="00D86DC5">
        <w:rPr>
          <w:rFonts w:ascii="Garamond" w:eastAsia="Calibri" w:hAnsi="Garamond" w:cs="Times New Roman"/>
          <w:sz w:val="23"/>
          <w:szCs w:val="23"/>
        </w:rPr>
        <w:t>.</w:t>
      </w:r>
    </w:p>
    <w:p w14:paraId="4EC5DC1E" w14:textId="77777777" w:rsidR="00FE2D7B" w:rsidRDefault="0009793D"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 xml:space="preserve">Si ritiene utile </w:t>
      </w:r>
      <w:r w:rsidR="006464E7" w:rsidRPr="00D86DC5">
        <w:rPr>
          <w:rFonts w:ascii="Garamond" w:eastAsia="Calibri" w:hAnsi="Garamond" w:cs="Times New Roman"/>
          <w:sz w:val="23"/>
          <w:szCs w:val="23"/>
        </w:rPr>
        <w:t xml:space="preserve">infine </w:t>
      </w:r>
      <w:r w:rsidRPr="00D86DC5">
        <w:rPr>
          <w:rFonts w:ascii="Garamond" w:eastAsia="Calibri" w:hAnsi="Garamond" w:cs="Times New Roman"/>
          <w:sz w:val="23"/>
          <w:szCs w:val="23"/>
        </w:rPr>
        <w:t xml:space="preserve">richiamare quanto già riportato nella Parte Generale del PTPCT 2021-2023 </w:t>
      </w:r>
      <w:r w:rsidR="006464E7" w:rsidRPr="00D86DC5">
        <w:rPr>
          <w:rFonts w:ascii="Garamond" w:eastAsia="Calibri" w:hAnsi="Garamond" w:cs="Times New Roman"/>
          <w:sz w:val="23"/>
          <w:szCs w:val="23"/>
        </w:rPr>
        <w:t xml:space="preserve">(a cui si rimanda) </w:t>
      </w:r>
      <w:r w:rsidRPr="00D86DC5">
        <w:rPr>
          <w:rFonts w:ascii="Garamond" w:eastAsia="Calibri" w:hAnsi="Garamond" w:cs="Times New Roman"/>
          <w:sz w:val="23"/>
          <w:szCs w:val="23"/>
        </w:rPr>
        <w:t>relativamente al</w:t>
      </w:r>
      <w:r w:rsidR="007F0A84" w:rsidRPr="00D86DC5">
        <w:rPr>
          <w:rFonts w:ascii="Garamond" w:eastAsia="Calibri" w:hAnsi="Garamond" w:cs="Times New Roman"/>
          <w:sz w:val="23"/>
          <w:szCs w:val="23"/>
        </w:rPr>
        <w:t xml:space="preserve">l’analisi svolta dalla DIA </w:t>
      </w:r>
      <w:r w:rsidRPr="00D86DC5">
        <w:rPr>
          <w:rFonts w:ascii="Garamond" w:eastAsia="Calibri" w:hAnsi="Garamond" w:cs="Times New Roman"/>
          <w:sz w:val="23"/>
          <w:szCs w:val="23"/>
        </w:rPr>
        <w:t>in</w:t>
      </w:r>
      <w:r w:rsidR="007F0A84" w:rsidRPr="00D86DC5">
        <w:rPr>
          <w:rFonts w:ascii="Garamond" w:eastAsia="Calibri" w:hAnsi="Garamond" w:cs="Times New Roman"/>
          <w:sz w:val="23"/>
          <w:szCs w:val="23"/>
        </w:rPr>
        <w:t xml:space="preserve"> riferimento al rapporto tra Pandemia e pro</w:t>
      </w:r>
      <w:bookmarkStart w:id="14" w:name="_Toc43329166"/>
      <w:r w:rsidR="00FE2D7B">
        <w:rPr>
          <w:rFonts w:ascii="Garamond" w:eastAsia="Calibri" w:hAnsi="Garamond" w:cs="Times New Roman"/>
          <w:sz w:val="23"/>
          <w:szCs w:val="23"/>
        </w:rPr>
        <w:t>tezione del sistema economico.</w:t>
      </w:r>
    </w:p>
    <w:p w14:paraId="179A59F2" w14:textId="77777777" w:rsidR="002977B8" w:rsidRDefault="002977B8" w:rsidP="00582EFE">
      <w:pPr>
        <w:autoSpaceDE w:val="0"/>
        <w:autoSpaceDN w:val="0"/>
        <w:adjustRightInd w:val="0"/>
        <w:spacing w:after="0" w:line="276" w:lineRule="auto"/>
        <w:ind w:right="-1"/>
        <w:jc w:val="both"/>
        <w:rPr>
          <w:rFonts w:ascii="Garamond" w:eastAsia="Calibri" w:hAnsi="Garamond" w:cs="Times New Roman"/>
          <w:sz w:val="23"/>
          <w:szCs w:val="23"/>
        </w:rPr>
      </w:pPr>
    </w:p>
    <w:p w14:paraId="177953BC" w14:textId="77777777" w:rsidR="00080452" w:rsidRPr="00926B2D" w:rsidRDefault="00080452" w:rsidP="00582EFE">
      <w:pPr>
        <w:spacing w:after="0" w:line="276" w:lineRule="auto"/>
        <w:ind w:right="-1"/>
        <w:jc w:val="both"/>
        <w:rPr>
          <w:rFonts w:ascii="Garamond" w:eastAsia="Calibri" w:hAnsi="Garamond" w:cs="Times New Roman"/>
          <w:b/>
          <w:i/>
          <w:smallCaps/>
          <w:sz w:val="23"/>
          <w:szCs w:val="23"/>
        </w:rPr>
      </w:pPr>
      <w:bookmarkStart w:id="15" w:name="_Hlk101625558"/>
      <w:r w:rsidRPr="00926B2D">
        <w:rPr>
          <w:rFonts w:ascii="Garamond" w:eastAsia="Calibri" w:hAnsi="Garamond" w:cs="Times New Roman"/>
          <w:b/>
          <w:i/>
          <w:smallCaps/>
          <w:sz w:val="23"/>
          <w:szCs w:val="23"/>
        </w:rPr>
        <w:t>I</w:t>
      </w:r>
      <w:r w:rsidR="00306040" w:rsidRPr="00926B2D">
        <w:rPr>
          <w:rFonts w:ascii="Garamond" w:eastAsia="Calibri" w:hAnsi="Garamond" w:cs="Times New Roman"/>
          <w:b/>
          <w:i/>
          <w:smallCaps/>
          <w:sz w:val="23"/>
          <w:szCs w:val="23"/>
        </w:rPr>
        <w:t>ndicazione sulla percezione dei fenomeni corruttivi in Abruzzo</w:t>
      </w:r>
      <w:bookmarkEnd w:id="14"/>
    </w:p>
    <w:bookmarkEnd w:id="15"/>
    <w:p w14:paraId="248E1D54" w14:textId="77777777" w:rsidR="00080452" w:rsidRPr="00D86DC5" w:rsidRDefault="00080452"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 xml:space="preserve">La fotografia sulla percezione e presenza delle mafie e della corruzione in Abruzzo è stata scattata da Libera nel rapporto </w:t>
      </w:r>
      <w:proofErr w:type="spellStart"/>
      <w:r w:rsidRPr="00D86DC5">
        <w:rPr>
          <w:rFonts w:ascii="Garamond" w:eastAsia="Calibri" w:hAnsi="Garamond" w:cs="Times New Roman"/>
          <w:sz w:val="23"/>
          <w:szCs w:val="23"/>
        </w:rPr>
        <w:t>LiberaIdee</w:t>
      </w:r>
      <w:proofErr w:type="spellEnd"/>
      <w:r w:rsidRPr="00D86DC5">
        <w:rPr>
          <w:rFonts w:ascii="Garamond" w:eastAsia="Calibri" w:hAnsi="Garamond" w:cs="Times New Roman"/>
          <w:sz w:val="23"/>
          <w:szCs w:val="23"/>
        </w:rPr>
        <w:t>, una ricerca sociale, quantitativa e qualitativa, condotta sull’elaborazione di circa 200 questionari.</w:t>
      </w:r>
    </w:p>
    <w:p w14:paraId="7B07E4AC" w14:textId="77777777" w:rsidR="00080452" w:rsidRPr="00D86DC5" w:rsidRDefault="00080452"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In Abruzzo la mafia è percepita come fenomeno marginale. Per oltre quattro rispondenti abruzzesi su dieci la presenza della mafia nella propria zona è un fenomeno marginale.</w:t>
      </w:r>
    </w:p>
    <w:p w14:paraId="78DC8D6C" w14:textId="77777777" w:rsidR="00080452" w:rsidRPr="00D86DC5" w:rsidRDefault="00080452"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 xml:space="preserve">Solo il 22,3% </w:t>
      </w:r>
      <w:r w:rsidR="00935760" w:rsidRPr="00D86DC5">
        <w:rPr>
          <w:rFonts w:ascii="Garamond" w:eastAsia="Calibri" w:hAnsi="Garamond" w:cs="Times New Roman"/>
          <w:sz w:val="23"/>
          <w:szCs w:val="23"/>
        </w:rPr>
        <w:t xml:space="preserve">degli intervistati </w:t>
      </w:r>
      <w:r w:rsidRPr="00D86DC5">
        <w:rPr>
          <w:rFonts w:ascii="Garamond" w:eastAsia="Calibri" w:hAnsi="Garamond" w:cs="Times New Roman"/>
          <w:sz w:val="23"/>
          <w:szCs w:val="23"/>
        </w:rPr>
        <w:t>ritiene la mafia un fenomeno p</w:t>
      </w:r>
      <w:r w:rsidR="00935760" w:rsidRPr="00D86DC5">
        <w:rPr>
          <w:rFonts w:ascii="Garamond" w:eastAsia="Calibri" w:hAnsi="Garamond" w:cs="Times New Roman"/>
          <w:sz w:val="23"/>
          <w:szCs w:val="23"/>
        </w:rPr>
        <w:t xml:space="preserve">reoccupante e la sua presenza </w:t>
      </w:r>
      <w:r w:rsidRPr="00D86DC5">
        <w:rPr>
          <w:rFonts w:ascii="Garamond" w:eastAsia="Calibri" w:hAnsi="Garamond" w:cs="Times New Roman"/>
          <w:sz w:val="23"/>
          <w:szCs w:val="23"/>
        </w:rPr>
        <w:t>socialmente pericolosa. Secondo i rispondenti, tra le attività principali della mafia in Abruzzo vi sono innanzitutto il traffico di stupefacenti (62,7%) e poi, a seguire, appalti truccati (38,8%) e il controllo del lavoro irregolare (31,3%). Altre attività indicate come tipiche delle mafie sul territorio sono la corruzione dei dipendenti pubblici (26,9%), lo sfruttamento della prostituzione (17,9%) e lo smaltimento illecito di rifiuti (16,4%).</w:t>
      </w:r>
    </w:p>
    <w:p w14:paraId="402A5AA6" w14:textId="77777777" w:rsidR="00080452" w:rsidRPr="00D86DC5" w:rsidRDefault="00080452"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 xml:space="preserve">Tra i fattori sociali considerati rilevanti per l'adesione a gruppi mafiosi, spicca in Abruzzo l'assenza di istituzioni e di una cultura diffusa della legalità (38,6%). In seconda battuta, sono indicate le difficoltà economiche e in ambito lavorativo (27,7%) </w:t>
      </w:r>
      <w:r w:rsidR="00935760" w:rsidRPr="00D86DC5">
        <w:rPr>
          <w:rFonts w:ascii="Garamond" w:eastAsia="Calibri" w:hAnsi="Garamond" w:cs="Times New Roman"/>
          <w:sz w:val="23"/>
          <w:szCs w:val="23"/>
        </w:rPr>
        <w:t xml:space="preserve">nonché </w:t>
      </w:r>
      <w:r w:rsidRPr="00D86DC5">
        <w:rPr>
          <w:rFonts w:ascii="Garamond" w:eastAsia="Calibri" w:hAnsi="Garamond" w:cs="Times New Roman"/>
          <w:sz w:val="23"/>
          <w:szCs w:val="23"/>
        </w:rPr>
        <w:t>il ruolo della famiglia e del contesto di riferimento (26,7%). La percezione della diffusione della corruzione in Abruzzo risulta abbastanza diffusa per il 60,9% del campione mentre il 15,3% la ritiene molto diffusa.</w:t>
      </w:r>
    </w:p>
    <w:p w14:paraId="33E47A3B" w14:textId="77777777" w:rsidR="000C58D2" w:rsidRDefault="00080452"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Circa un rispondente abruzzese su tre dichiara di conoscere personalmente o di aver conosciuto in passato qualcuno coinvolto in pratiche corruttive (aver ricevuto o aver offerto tangenti e/o favori indebiti). Ma un marcato smarrimento (o una comprensibile preoccupazione) nel valutare la propria capacità di identificare la natura illecita o irregolare delle altrui richieste affiora anche dalla percent</w:t>
      </w:r>
      <w:r w:rsidR="00935760" w:rsidRPr="00D86DC5">
        <w:rPr>
          <w:rFonts w:ascii="Garamond" w:eastAsia="Calibri" w:hAnsi="Garamond" w:cs="Times New Roman"/>
          <w:sz w:val="23"/>
          <w:szCs w:val="23"/>
        </w:rPr>
        <w:t>uale non bassa - pari al 17,8 % -</w:t>
      </w:r>
      <w:r w:rsidRPr="00D86DC5">
        <w:rPr>
          <w:rFonts w:ascii="Garamond" w:eastAsia="Calibri" w:hAnsi="Garamond" w:cs="Times New Roman"/>
          <w:sz w:val="23"/>
          <w:szCs w:val="23"/>
        </w:rPr>
        <w:t xml:space="preserve"> di intervistati che "non sanno" se hanno ri</w:t>
      </w:r>
      <w:r w:rsidR="000C58D2">
        <w:rPr>
          <w:rFonts w:ascii="Garamond" w:eastAsia="Calibri" w:hAnsi="Garamond" w:cs="Times New Roman"/>
          <w:sz w:val="23"/>
          <w:szCs w:val="23"/>
        </w:rPr>
        <w:t>cevuto o meno simili richieste.</w:t>
      </w:r>
    </w:p>
    <w:p w14:paraId="5F3200CC" w14:textId="77777777" w:rsidR="00080452" w:rsidRPr="00D86DC5" w:rsidRDefault="000C58D2" w:rsidP="00582EFE">
      <w:pPr>
        <w:autoSpaceDE w:val="0"/>
        <w:autoSpaceDN w:val="0"/>
        <w:adjustRightInd w:val="0"/>
        <w:spacing w:after="0" w:line="276" w:lineRule="auto"/>
        <w:ind w:right="-1"/>
        <w:jc w:val="both"/>
        <w:rPr>
          <w:rFonts w:ascii="Garamond" w:eastAsia="Calibri" w:hAnsi="Garamond" w:cs="Times New Roman"/>
          <w:sz w:val="23"/>
          <w:szCs w:val="23"/>
        </w:rPr>
      </w:pPr>
      <w:r>
        <w:rPr>
          <w:rFonts w:ascii="Garamond" w:eastAsia="Calibri" w:hAnsi="Garamond" w:cs="Times New Roman"/>
          <w:sz w:val="23"/>
          <w:szCs w:val="23"/>
        </w:rPr>
        <w:t>È</w:t>
      </w:r>
      <w:r w:rsidR="00080452" w:rsidRPr="00D86DC5">
        <w:rPr>
          <w:rFonts w:ascii="Garamond" w:eastAsia="Calibri" w:hAnsi="Garamond" w:cs="Times New Roman"/>
          <w:sz w:val="23"/>
          <w:szCs w:val="23"/>
        </w:rPr>
        <w:t xml:space="preserve"> la sfera politica il principale bersaglio selettivo della sfiducia: il coinvolgimento nella corruzione viene considerato significati</w:t>
      </w:r>
      <w:r w:rsidR="00935760" w:rsidRPr="00D86DC5">
        <w:rPr>
          <w:rFonts w:ascii="Garamond" w:eastAsia="Calibri" w:hAnsi="Garamond" w:cs="Times New Roman"/>
          <w:sz w:val="23"/>
          <w:szCs w:val="23"/>
        </w:rPr>
        <w:t>vo nei confronti di membri del G</w:t>
      </w:r>
      <w:r w:rsidR="00080452" w:rsidRPr="00D86DC5">
        <w:rPr>
          <w:rFonts w:ascii="Garamond" w:eastAsia="Calibri" w:hAnsi="Garamond" w:cs="Times New Roman"/>
          <w:sz w:val="23"/>
          <w:szCs w:val="23"/>
        </w:rPr>
        <w:t>overno e del Parlamento (57,4%) e dei partiti (49,5%). A seguire quindi i funzionari pubblici che assegnano appalti (39,6%) e poi gli imprenditori (26,2%). Infine, si segnala che in Abruzzo è più elevata del dato nazionale la quota di coloro che indicano tra le figure coinvolte in pratiche corruttive alcuni esponenti del clero (17,8%).</w:t>
      </w:r>
    </w:p>
    <w:p w14:paraId="1C558A5F" w14:textId="77777777" w:rsidR="00080452" w:rsidRPr="00D86DC5" w:rsidRDefault="00080452"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In Abruzzo i motivi principali per cui gli episodi di corruzione non vengono denunciati per timore e sfiducia nelle istituzioni</w:t>
      </w:r>
      <w:r w:rsidR="00B1168C" w:rsidRPr="00D86DC5">
        <w:rPr>
          <w:rFonts w:ascii="Garamond" w:eastAsia="Calibri" w:hAnsi="Garamond" w:cs="Times New Roman"/>
          <w:sz w:val="23"/>
          <w:szCs w:val="23"/>
        </w:rPr>
        <w:t xml:space="preserve"> risiedono per lo più </w:t>
      </w:r>
      <w:r w:rsidR="00E2173A" w:rsidRPr="00D86DC5">
        <w:rPr>
          <w:rFonts w:ascii="Garamond" w:eastAsia="Calibri" w:hAnsi="Garamond" w:cs="Times New Roman"/>
          <w:sz w:val="23"/>
          <w:szCs w:val="23"/>
        </w:rPr>
        <w:t>in una sostanziale limitata fiducia nelle istituzioni</w:t>
      </w:r>
      <w:r w:rsidRPr="00D86DC5">
        <w:rPr>
          <w:rFonts w:ascii="Garamond" w:eastAsia="Calibri" w:hAnsi="Garamond" w:cs="Times New Roman"/>
          <w:sz w:val="23"/>
          <w:szCs w:val="23"/>
        </w:rPr>
        <w:t xml:space="preserve">. </w:t>
      </w:r>
      <w:r w:rsidR="00E2173A" w:rsidRPr="00D86DC5">
        <w:rPr>
          <w:rFonts w:ascii="Garamond" w:eastAsia="Calibri" w:hAnsi="Garamond" w:cs="Times New Roman"/>
          <w:sz w:val="23"/>
          <w:szCs w:val="23"/>
        </w:rPr>
        <w:t>In particolare: chi potrebbe o dovrebbe denunciare episodi di corruzione ha timore delle conse</w:t>
      </w:r>
      <w:r w:rsidR="00935760" w:rsidRPr="00D86DC5">
        <w:rPr>
          <w:rFonts w:ascii="Garamond" w:eastAsia="Calibri" w:hAnsi="Garamond" w:cs="Times New Roman"/>
          <w:sz w:val="23"/>
          <w:szCs w:val="23"/>
        </w:rPr>
        <w:t xml:space="preserve">guenze (75,7% delle risposte). </w:t>
      </w:r>
      <w:r w:rsidRPr="00D86DC5">
        <w:rPr>
          <w:rFonts w:ascii="Garamond" w:eastAsia="Calibri" w:hAnsi="Garamond" w:cs="Times New Roman"/>
          <w:sz w:val="23"/>
          <w:szCs w:val="23"/>
        </w:rPr>
        <w:t>In seconda battuta</w:t>
      </w:r>
      <w:r w:rsidR="00E2173A" w:rsidRPr="00D86DC5">
        <w:rPr>
          <w:rFonts w:ascii="Garamond" w:eastAsia="Calibri" w:hAnsi="Garamond" w:cs="Times New Roman"/>
          <w:sz w:val="23"/>
          <w:szCs w:val="23"/>
        </w:rPr>
        <w:t xml:space="preserve"> il timore </w:t>
      </w:r>
      <w:r w:rsidRPr="00D86DC5">
        <w:rPr>
          <w:rFonts w:ascii="Garamond" w:eastAsia="Calibri" w:hAnsi="Garamond" w:cs="Times New Roman"/>
          <w:sz w:val="23"/>
          <w:szCs w:val="23"/>
        </w:rPr>
        <w:t>che l'intero sistema sia corrotto, compresi funzionari che dovrebbero raccogliere l</w:t>
      </w:r>
      <w:r w:rsidR="00E2173A" w:rsidRPr="00D86DC5">
        <w:rPr>
          <w:rFonts w:ascii="Garamond" w:eastAsia="Calibri" w:hAnsi="Garamond" w:cs="Times New Roman"/>
          <w:sz w:val="23"/>
          <w:szCs w:val="23"/>
        </w:rPr>
        <w:t>e</w:t>
      </w:r>
      <w:r w:rsidRPr="00D86DC5">
        <w:rPr>
          <w:rFonts w:ascii="Garamond" w:eastAsia="Calibri" w:hAnsi="Garamond" w:cs="Times New Roman"/>
          <w:sz w:val="23"/>
          <w:szCs w:val="23"/>
        </w:rPr>
        <w:t xml:space="preserve"> segnalazion</w:t>
      </w:r>
      <w:r w:rsidR="00E2173A" w:rsidRPr="00D86DC5">
        <w:rPr>
          <w:rFonts w:ascii="Garamond" w:eastAsia="Calibri" w:hAnsi="Garamond" w:cs="Times New Roman"/>
          <w:sz w:val="23"/>
          <w:szCs w:val="23"/>
        </w:rPr>
        <w:t>i</w:t>
      </w:r>
      <w:r w:rsidRPr="00D86DC5">
        <w:rPr>
          <w:rFonts w:ascii="Garamond" w:eastAsia="Calibri" w:hAnsi="Garamond" w:cs="Times New Roman"/>
          <w:sz w:val="23"/>
          <w:szCs w:val="23"/>
        </w:rPr>
        <w:t xml:space="preserve"> (39,6%). </w:t>
      </w:r>
      <w:r w:rsidR="00C62199" w:rsidRPr="00D86DC5">
        <w:rPr>
          <w:rFonts w:ascii="Garamond" w:eastAsia="Calibri" w:hAnsi="Garamond" w:cs="Times New Roman"/>
          <w:sz w:val="23"/>
          <w:szCs w:val="23"/>
        </w:rPr>
        <w:t xml:space="preserve">Il dato preoccupante è rappresentato dal </w:t>
      </w:r>
      <w:r w:rsidRPr="00D86DC5">
        <w:rPr>
          <w:rFonts w:ascii="Garamond" w:eastAsia="Calibri" w:hAnsi="Garamond" w:cs="Times New Roman"/>
          <w:sz w:val="23"/>
          <w:szCs w:val="23"/>
        </w:rPr>
        <w:t>23,3% degli intervistati in Abruzzo</w:t>
      </w:r>
      <w:r w:rsidR="00935760" w:rsidRPr="00D86DC5">
        <w:rPr>
          <w:rFonts w:ascii="Garamond" w:eastAsia="Calibri" w:hAnsi="Garamond" w:cs="Times New Roman"/>
          <w:sz w:val="23"/>
          <w:szCs w:val="23"/>
        </w:rPr>
        <w:t>,</w:t>
      </w:r>
      <w:r w:rsidRPr="00D86DC5">
        <w:rPr>
          <w:rFonts w:ascii="Garamond" w:eastAsia="Calibri" w:hAnsi="Garamond" w:cs="Times New Roman"/>
          <w:sz w:val="23"/>
          <w:szCs w:val="23"/>
        </w:rPr>
        <w:t xml:space="preserve"> </w:t>
      </w:r>
      <w:r w:rsidR="00C62199" w:rsidRPr="00D86DC5">
        <w:rPr>
          <w:rFonts w:ascii="Garamond" w:eastAsia="Calibri" w:hAnsi="Garamond" w:cs="Times New Roman"/>
          <w:sz w:val="23"/>
          <w:szCs w:val="23"/>
        </w:rPr>
        <w:t xml:space="preserve">secondo cui il motivo principale della mancata presentazione delle denunce </w:t>
      </w:r>
      <w:r w:rsidRPr="00D86DC5">
        <w:rPr>
          <w:rFonts w:ascii="Garamond" w:eastAsia="Calibri" w:hAnsi="Garamond" w:cs="Times New Roman"/>
          <w:sz w:val="23"/>
          <w:szCs w:val="23"/>
        </w:rPr>
        <w:t xml:space="preserve">di fronte a fenomeni corruttivi </w:t>
      </w:r>
      <w:r w:rsidR="00C62199" w:rsidRPr="00D86DC5">
        <w:rPr>
          <w:rFonts w:ascii="Garamond" w:eastAsia="Calibri" w:hAnsi="Garamond" w:cs="Times New Roman"/>
          <w:sz w:val="23"/>
          <w:szCs w:val="23"/>
        </w:rPr>
        <w:t>è da ricondursi al fatto di ritenere la corruzione un fenomeno ordinario del sistema.</w:t>
      </w:r>
    </w:p>
    <w:p w14:paraId="18AA2672" w14:textId="77777777" w:rsidR="00080452" w:rsidRPr="00D86DC5" w:rsidRDefault="00080452"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 xml:space="preserve">Colpisce che le azioni ritenute più efficaci da intraprendere per combattere la corruzione si risolvano in atti individuali: denunciare (56,9%). Il dato che vede solo un 17% dichiarare che per contrastare la corruzione sia utile votare i politici onesti è un segnale di sfiducia verso le istituzioni molto preoccupante. Quasi un </w:t>
      </w:r>
      <w:r w:rsidRPr="00D86DC5">
        <w:rPr>
          <w:rFonts w:ascii="Garamond" w:eastAsia="Calibri" w:hAnsi="Garamond" w:cs="Times New Roman"/>
          <w:sz w:val="23"/>
          <w:szCs w:val="23"/>
        </w:rPr>
        <w:lastRenderedPageBreak/>
        <w:t>intervistato su due ritiene che in Abruzzo vi sia la presenza di organizzazioni criminali di origine straniera con caratteristiche similari alle mafie tradizionali italiane.</w:t>
      </w:r>
    </w:p>
    <w:p w14:paraId="5291A546" w14:textId="77777777" w:rsidR="00080452" w:rsidRPr="00D86DC5" w:rsidRDefault="00080452"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Consistente è anche la percentuale di coloro che non sono in grado di prendere posizione sul tema (oltre quattro su dieci). La quota di incerti cresce leggermente a fronte di una domanda più precisa circa il tipo di criminalità straniera presente nella region</w:t>
      </w:r>
      <w:r w:rsidR="00935760" w:rsidRPr="00D86DC5">
        <w:rPr>
          <w:rFonts w:ascii="Garamond" w:eastAsia="Calibri" w:hAnsi="Garamond" w:cs="Times New Roman"/>
          <w:sz w:val="23"/>
          <w:szCs w:val="23"/>
        </w:rPr>
        <w:t xml:space="preserve">e: oltre la metà del campione </w:t>
      </w:r>
      <w:r w:rsidRPr="00D86DC5">
        <w:rPr>
          <w:rFonts w:ascii="Garamond" w:eastAsia="Calibri" w:hAnsi="Garamond" w:cs="Times New Roman"/>
          <w:sz w:val="23"/>
          <w:szCs w:val="23"/>
        </w:rPr>
        <w:t>afferma infatti di non essere in grado di identificare esattamente l'origine dei gruppi mafiosi stranieri più diffusi nel territorio regionale. Tra coloro che rispondono in modo puntuale alla domanda, invece, prevale l'indicazione della mafia albanese (17,3%) e a seguire quella balcanica (12,2%). In relazione al rapporto tra migrazioni irregolari e mafie, per la metà dei rispondenti un ruolo prevalente è svolto dai gruppi mafiosi tradizionali italiani, mentre per un intervistato su quattro vi è un coinvolgimento maggiore delle mafie straniere.</w:t>
      </w:r>
    </w:p>
    <w:p w14:paraId="387E61AC" w14:textId="77777777" w:rsidR="00080452" w:rsidRPr="00D86DC5" w:rsidRDefault="00080452"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Due rispondenti su tre in Abruzzo sanno che i beni che sono stati confiscati vengono poi dati in uso per fini istituzionali o sociali. Ciò nonostante, la conoscenza dell'esistenza di uno o più beni confiscati in Abruzzo è poco diffusa: meno della metà dei rispondenti ha informazioni al riguardo, un dato decisamente inferiore alla media nazionale. Nella grande maggioranza dei casi – circa otto su dieci – i beni confiscati sono percepiti come una risorsa per il territorio, capace di portare benefici all'intera comunità locale.</w:t>
      </w:r>
    </w:p>
    <w:p w14:paraId="6375C4E5" w14:textId="77777777" w:rsidR="00080452" w:rsidRPr="00D86DC5" w:rsidRDefault="00080452" w:rsidP="00582EFE">
      <w:pPr>
        <w:autoSpaceDE w:val="0"/>
        <w:autoSpaceDN w:val="0"/>
        <w:adjustRightInd w:val="0"/>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Per quel che concerne le opinioni relative a quale debba essere l'utilizzo dei beni confiscati, secondo i rispondenti, dovrebbero essere destinati in misura prioritaria a cooperative orientate all'inserimento lavorativo dei giovani (34,2%) e in seconda battuta, alla realizzazione di luoghi pubblici di aggregazione e di educazione alla cittadinanza (25,7%).</w:t>
      </w:r>
    </w:p>
    <w:p w14:paraId="50907934" w14:textId="63A42BF1" w:rsidR="00500BA4" w:rsidRDefault="00500BA4" w:rsidP="00582EFE">
      <w:pPr>
        <w:autoSpaceDE w:val="0"/>
        <w:autoSpaceDN w:val="0"/>
        <w:adjustRightInd w:val="0"/>
        <w:spacing w:after="0" w:line="276" w:lineRule="auto"/>
        <w:ind w:right="-1"/>
        <w:jc w:val="both"/>
        <w:rPr>
          <w:rFonts w:ascii="Garamond" w:eastAsia="Calibri" w:hAnsi="Garamond" w:cs="Times New Roman"/>
          <w:sz w:val="23"/>
          <w:szCs w:val="23"/>
        </w:rPr>
      </w:pPr>
    </w:p>
    <w:p w14:paraId="004B3892" w14:textId="7286E083" w:rsidR="006250A9" w:rsidRPr="001F5930" w:rsidRDefault="006250A9" w:rsidP="00582EFE">
      <w:pPr>
        <w:spacing w:after="0" w:line="276" w:lineRule="auto"/>
        <w:ind w:right="-1"/>
        <w:jc w:val="both"/>
        <w:outlineLvl w:val="1"/>
        <w:rPr>
          <w:rFonts w:ascii="Garamond" w:eastAsia="Calibri" w:hAnsi="Garamond" w:cs="Times New Roman"/>
          <w:b/>
          <w:sz w:val="23"/>
          <w:szCs w:val="23"/>
        </w:rPr>
      </w:pPr>
      <w:bookmarkStart w:id="16" w:name="_Toc102136703"/>
      <w:r w:rsidRPr="00C17DA0">
        <w:rPr>
          <w:rFonts w:ascii="Garamond" w:eastAsia="Calibri" w:hAnsi="Garamond" w:cs="Times New Roman"/>
          <w:b/>
          <w:sz w:val="23"/>
          <w:szCs w:val="23"/>
        </w:rPr>
        <w:t>2.4.3 CONTESTO INTERNO</w:t>
      </w:r>
      <w:bookmarkEnd w:id="16"/>
    </w:p>
    <w:p w14:paraId="750ED4B5" w14:textId="77777777" w:rsidR="0074017A" w:rsidRPr="00926B2D" w:rsidRDefault="0074017A" w:rsidP="00582EFE">
      <w:pPr>
        <w:pStyle w:val="Default"/>
        <w:spacing w:line="276" w:lineRule="auto"/>
        <w:ind w:right="-1"/>
        <w:jc w:val="both"/>
        <w:rPr>
          <w:rFonts w:cs="Times New Roman"/>
          <w:iCs/>
          <w:color w:val="auto"/>
          <w:sz w:val="23"/>
          <w:szCs w:val="23"/>
        </w:rPr>
      </w:pPr>
    </w:p>
    <w:p w14:paraId="11E4AFCF" w14:textId="04B707AB" w:rsidR="00E62D43" w:rsidRPr="00500BA4" w:rsidRDefault="00E62D43" w:rsidP="00582EFE">
      <w:pPr>
        <w:pStyle w:val="Default"/>
        <w:spacing w:line="276" w:lineRule="auto"/>
        <w:ind w:right="-1"/>
        <w:jc w:val="both"/>
        <w:rPr>
          <w:rFonts w:cs="Times New Roman"/>
          <w:color w:val="auto"/>
          <w:sz w:val="23"/>
          <w:szCs w:val="23"/>
        </w:rPr>
      </w:pPr>
      <w:r w:rsidRPr="00500BA4">
        <w:rPr>
          <w:rFonts w:cs="Times New Roman"/>
          <w:color w:val="auto"/>
          <w:sz w:val="23"/>
          <w:szCs w:val="23"/>
        </w:rPr>
        <w:t>L’analisi del contesto interno riguarda gli aspetti legati all’organizzazione e alla gestione per processi che influenzano la sensibilità della struttura al rischio corruttivo.</w:t>
      </w:r>
      <w:r w:rsidR="00411207" w:rsidRPr="00500BA4">
        <w:rPr>
          <w:color w:val="auto"/>
        </w:rPr>
        <w:t xml:space="preserve"> </w:t>
      </w:r>
      <w:r w:rsidR="00CA144F" w:rsidRPr="00500BA4">
        <w:rPr>
          <w:color w:val="auto"/>
        </w:rPr>
        <w:t>A tal fine occorre</w:t>
      </w:r>
      <w:r w:rsidR="00411207" w:rsidRPr="00500BA4">
        <w:rPr>
          <w:color w:val="auto"/>
        </w:rPr>
        <w:t xml:space="preserve"> </w:t>
      </w:r>
      <w:r w:rsidR="00411207" w:rsidRPr="00500BA4">
        <w:rPr>
          <w:rFonts w:cs="Times New Roman"/>
          <w:color w:val="auto"/>
          <w:sz w:val="23"/>
          <w:szCs w:val="23"/>
        </w:rPr>
        <w:t>acquisire e interpretare, in termini di rischio corruttivo rispetto a</w:t>
      </w:r>
      <w:r w:rsidR="00CA144F" w:rsidRPr="00500BA4">
        <w:rPr>
          <w:rFonts w:cs="Times New Roman"/>
          <w:color w:val="auto"/>
          <w:sz w:val="23"/>
          <w:szCs w:val="23"/>
        </w:rPr>
        <w:t>lla propria amministrazione</w:t>
      </w:r>
      <w:r w:rsidR="00411207" w:rsidRPr="00500BA4">
        <w:rPr>
          <w:rFonts w:cs="Times New Roman"/>
          <w:color w:val="auto"/>
          <w:sz w:val="23"/>
          <w:szCs w:val="23"/>
        </w:rPr>
        <w:t xml:space="preserve">, sia le principali dinamiche territoriali o settoriali, sia le influenze o pressioni di interessi esterni cui l’amministrazione </w:t>
      </w:r>
      <w:r w:rsidR="00CA144F" w:rsidRPr="00500BA4">
        <w:rPr>
          <w:rFonts w:cs="Times New Roman"/>
          <w:color w:val="auto"/>
          <w:sz w:val="23"/>
          <w:szCs w:val="23"/>
        </w:rPr>
        <w:t xml:space="preserve">stessa </w:t>
      </w:r>
      <w:r w:rsidR="00411207" w:rsidRPr="00500BA4">
        <w:rPr>
          <w:rFonts w:cs="Times New Roman"/>
          <w:color w:val="auto"/>
          <w:sz w:val="23"/>
          <w:szCs w:val="23"/>
        </w:rPr>
        <w:t>potrebbe essere sottoposta</w:t>
      </w:r>
      <w:r w:rsidR="00CA144F" w:rsidRPr="00500BA4">
        <w:rPr>
          <w:rFonts w:cs="Times New Roman"/>
          <w:color w:val="auto"/>
          <w:sz w:val="23"/>
          <w:szCs w:val="23"/>
        </w:rPr>
        <w:t>.</w:t>
      </w:r>
    </w:p>
    <w:p w14:paraId="32BF1215" w14:textId="65EC3F67" w:rsidR="00E6638B" w:rsidRPr="00E6638B" w:rsidRDefault="00E6638B" w:rsidP="00E6638B">
      <w:pPr>
        <w:pStyle w:val="Default"/>
        <w:spacing w:line="276" w:lineRule="auto"/>
        <w:ind w:right="-1"/>
        <w:jc w:val="both"/>
        <w:rPr>
          <w:rFonts w:cs="Times New Roman"/>
          <w:color w:val="FF0000"/>
          <w:sz w:val="23"/>
          <w:szCs w:val="23"/>
        </w:rPr>
      </w:pPr>
      <w:r w:rsidRPr="00500BA4">
        <w:rPr>
          <w:rFonts w:cs="Times New Roman"/>
          <w:color w:val="auto"/>
          <w:sz w:val="23"/>
          <w:szCs w:val="23"/>
        </w:rPr>
        <w:t xml:space="preserve">Come evidenziato dall’ANAC (cfr. PNA 2022 - approvato dal Consiglio dell'ANAC il 16 novembre 2022) nell’ottica del legislatore del PIAO, quale strumento unitario e integrato, l’analisi del contesto interno, al pari dell’analisi del contesto esterno, </w:t>
      </w:r>
      <w:r w:rsidR="00CA144F" w:rsidRPr="00500BA4">
        <w:rPr>
          <w:rFonts w:cs="Times New Roman"/>
          <w:color w:val="auto"/>
          <w:sz w:val="23"/>
          <w:szCs w:val="23"/>
        </w:rPr>
        <w:t>costituisce</w:t>
      </w:r>
      <w:r w:rsidRPr="00500BA4">
        <w:rPr>
          <w:rFonts w:cs="Times New Roman"/>
          <w:color w:val="auto"/>
          <w:sz w:val="23"/>
          <w:szCs w:val="23"/>
        </w:rPr>
        <w:t xml:space="preserve"> presupposto dell’intero processo di pianificazione per guidare sia nella scelta delle strategie capaci di produrre valore pubblico sia nella predisposizione delle diverse sottosezioni del PIAO. In altri termini, i dati e le informazioni raccolti in ogni sottosezione del PIAO costituiscono, nella logica della pianificazione integrata, patrimonio comune e unitario per l’analisi del contesto esterno ed interno, attraverso la quale l’amministrazione comprende meglio le proprie caratteristiche e l’ambiente in cui opera</w:t>
      </w:r>
      <w:r>
        <w:rPr>
          <w:rFonts w:cs="Times New Roman"/>
          <w:color w:val="FF0000"/>
          <w:sz w:val="23"/>
          <w:szCs w:val="23"/>
        </w:rPr>
        <w:t>.</w:t>
      </w:r>
    </w:p>
    <w:p w14:paraId="5081EEBF" w14:textId="08DBF9A8" w:rsidR="00231562" w:rsidRDefault="00CA144F" w:rsidP="00582EFE">
      <w:pPr>
        <w:pStyle w:val="Default"/>
        <w:spacing w:line="276" w:lineRule="auto"/>
        <w:ind w:right="-1"/>
        <w:jc w:val="both"/>
        <w:rPr>
          <w:rFonts w:cs="Times New Roman"/>
          <w:color w:val="auto"/>
          <w:sz w:val="23"/>
          <w:szCs w:val="23"/>
        </w:rPr>
      </w:pPr>
      <w:r w:rsidRPr="00500BA4">
        <w:rPr>
          <w:rFonts w:cs="Times New Roman"/>
          <w:color w:val="auto"/>
          <w:sz w:val="23"/>
          <w:szCs w:val="23"/>
        </w:rPr>
        <w:t xml:space="preserve">Posto quanto sopra, e con </w:t>
      </w:r>
      <w:r>
        <w:rPr>
          <w:rFonts w:cs="Times New Roman"/>
          <w:color w:val="auto"/>
          <w:sz w:val="23"/>
          <w:szCs w:val="23"/>
        </w:rPr>
        <w:t>r</w:t>
      </w:r>
      <w:r w:rsidR="005A0F5F" w:rsidRPr="000E32FC">
        <w:rPr>
          <w:rFonts w:cs="Times New Roman"/>
          <w:color w:val="auto"/>
          <w:sz w:val="23"/>
          <w:szCs w:val="23"/>
        </w:rPr>
        <w:t>iguardo al</w:t>
      </w:r>
      <w:r w:rsidR="00532397" w:rsidRPr="000E32FC">
        <w:rPr>
          <w:rFonts w:cs="Times New Roman"/>
          <w:color w:val="auto"/>
          <w:sz w:val="23"/>
          <w:szCs w:val="23"/>
        </w:rPr>
        <w:t>la descrizione della macrostruttura della Giunta Regionale, dell’</w:t>
      </w:r>
      <w:r w:rsidR="005A0F5F" w:rsidRPr="000E32FC">
        <w:rPr>
          <w:rFonts w:cs="Times New Roman"/>
          <w:color w:val="auto"/>
          <w:sz w:val="23"/>
          <w:szCs w:val="23"/>
        </w:rPr>
        <w:t xml:space="preserve">assetto organizzativo </w:t>
      </w:r>
      <w:r w:rsidR="00532397" w:rsidRPr="000E32FC">
        <w:rPr>
          <w:rFonts w:cs="Times New Roman"/>
          <w:color w:val="auto"/>
          <w:sz w:val="23"/>
          <w:szCs w:val="23"/>
        </w:rPr>
        <w:t xml:space="preserve">dei relativi Dipartimenti/Servizi Autonomi, Servizi e Uffici </w:t>
      </w:r>
      <w:r w:rsidR="00853FE0" w:rsidRPr="000E32FC">
        <w:rPr>
          <w:rFonts w:cs="Times New Roman"/>
          <w:color w:val="auto"/>
          <w:sz w:val="23"/>
          <w:szCs w:val="23"/>
        </w:rPr>
        <w:t xml:space="preserve">e </w:t>
      </w:r>
      <w:r w:rsidR="00532397" w:rsidRPr="000E32FC">
        <w:rPr>
          <w:rFonts w:cs="Times New Roman"/>
          <w:color w:val="auto"/>
          <w:sz w:val="23"/>
          <w:szCs w:val="23"/>
        </w:rPr>
        <w:t>della distribuzione tra gli stessi delle risorse umane</w:t>
      </w:r>
      <w:r w:rsidR="00C876C6" w:rsidRPr="000E32FC">
        <w:rPr>
          <w:rFonts w:cs="Times New Roman"/>
          <w:color w:val="auto"/>
          <w:sz w:val="23"/>
          <w:szCs w:val="23"/>
        </w:rPr>
        <w:t xml:space="preserve">, </w:t>
      </w:r>
      <w:r w:rsidR="00231562" w:rsidRPr="000E32FC">
        <w:rPr>
          <w:rFonts w:cs="Times New Roman"/>
          <w:color w:val="auto"/>
          <w:sz w:val="23"/>
          <w:szCs w:val="23"/>
        </w:rPr>
        <w:t>non può che rinviarsi</w:t>
      </w:r>
      <w:r w:rsidR="00C876C6" w:rsidRPr="000E32FC">
        <w:rPr>
          <w:rFonts w:cs="Times New Roman"/>
          <w:color w:val="auto"/>
          <w:sz w:val="23"/>
          <w:szCs w:val="23"/>
        </w:rPr>
        <w:t xml:space="preserve"> ai dati esposti nelle Sezioni del PIAO a ciò dedicate</w:t>
      </w:r>
      <w:r w:rsidR="00231562" w:rsidRPr="000E32FC">
        <w:rPr>
          <w:rFonts w:cs="Times New Roman"/>
          <w:color w:val="auto"/>
          <w:sz w:val="23"/>
          <w:szCs w:val="23"/>
        </w:rPr>
        <w:t>.</w:t>
      </w:r>
    </w:p>
    <w:p w14:paraId="24E9D9D8" w14:textId="07AF2528" w:rsidR="000E32FC" w:rsidRDefault="00231562" w:rsidP="00582EFE">
      <w:pPr>
        <w:pStyle w:val="Default"/>
        <w:spacing w:line="276" w:lineRule="auto"/>
        <w:ind w:right="-1"/>
        <w:jc w:val="both"/>
        <w:rPr>
          <w:rFonts w:cs="Times New Roman"/>
          <w:color w:val="auto"/>
          <w:sz w:val="23"/>
          <w:szCs w:val="23"/>
        </w:rPr>
      </w:pPr>
      <w:r w:rsidRPr="000E32FC">
        <w:rPr>
          <w:rFonts w:cs="Times New Roman"/>
          <w:color w:val="auto"/>
          <w:sz w:val="23"/>
          <w:szCs w:val="23"/>
        </w:rPr>
        <w:t>Per quel che qui rileva, si evidenzia che l</w:t>
      </w:r>
      <w:r w:rsidR="00C876C6" w:rsidRPr="000E32FC">
        <w:rPr>
          <w:rFonts w:cs="Times New Roman"/>
          <w:color w:val="auto"/>
          <w:sz w:val="23"/>
          <w:szCs w:val="23"/>
        </w:rPr>
        <w:t xml:space="preserve">a trasparente ed oggettiva distribuzione delle risorse </w:t>
      </w:r>
      <w:r w:rsidRPr="000E32FC">
        <w:rPr>
          <w:rFonts w:cs="Times New Roman"/>
          <w:color w:val="auto"/>
          <w:sz w:val="23"/>
          <w:szCs w:val="23"/>
        </w:rPr>
        <w:t xml:space="preserve">tra gli uffici della Giunta è </w:t>
      </w:r>
      <w:r w:rsidR="000E32FC">
        <w:rPr>
          <w:rFonts w:cs="Times New Roman"/>
          <w:color w:val="auto"/>
          <w:sz w:val="23"/>
          <w:szCs w:val="23"/>
        </w:rPr>
        <w:t>presupposto</w:t>
      </w:r>
      <w:r w:rsidRPr="000E32FC">
        <w:rPr>
          <w:rFonts w:cs="Times New Roman"/>
          <w:color w:val="auto"/>
          <w:sz w:val="23"/>
          <w:szCs w:val="23"/>
        </w:rPr>
        <w:t xml:space="preserve"> imprescindibile affinché si assicurino le condizioni indispensabili per il corretto agire dell’Amministrazione</w:t>
      </w:r>
      <w:r w:rsidR="000E32FC">
        <w:rPr>
          <w:rFonts w:cs="Times New Roman"/>
          <w:color w:val="auto"/>
          <w:sz w:val="23"/>
          <w:szCs w:val="23"/>
        </w:rPr>
        <w:t>,</w:t>
      </w:r>
      <w:r w:rsidRPr="000E32FC">
        <w:rPr>
          <w:rFonts w:cs="Times New Roman"/>
          <w:color w:val="auto"/>
          <w:sz w:val="23"/>
          <w:szCs w:val="23"/>
        </w:rPr>
        <w:t xml:space="preserve"> scongiurando anche il rischio di irregolarità involontarie</w:t>
      </w:r>
      <w:r w:rsidR="000E32FC">
        <w:rPr>
          <w:rFonts w:cs="Times New Roman"/>
          <w:color w:val="auto"/>
          <w:sz w:val="23"/>
          <w:szCs w:val="23"/>
        </w:rPr>
        <w:t>.</w:t>
      </w:r>
    </w:p>
    <w:p w14:paraId="34A52198" w14:textId="4676B0A8" w:rsidR="000E32FC" w:rsidRDefault="00261EF0" w:rsidP="00582EFE">
      <w:pPr>
        <w:pStyle w:val="Default"/>
        <w:spacing w:line="276" w:lineRule="auto"/>
        <w:ind w:right="-1"/>
        <w:jc w:val="both"/>
        <w:rPr>
          <w:rFonts w:cs="Times New Roman"/>
          <w:color w:val="auto"/>
          <w:sz w:val="23"/>
          <w:szCs w:val="23"/>
        </w:rPr>
      </w:pPr>
      <w:r>
        <w:rPr>
          <w:rFonts w:cs="Times New Roman"/>
          <w:color w:val="auto"/>
          <w:sz w:val="23"/>
          <w:szCs w:val="23"/>
        </w:rPr>
        <w:t>A tale ultimo proposito, c</w:t>
      </w:r>
      <w:r w:rsidR="000E32FC">
        <w:rPr>
          <w:rFonts w:cs="Times New Roman"/>
          <w:color w:val="auto"/>
          <w:sz w:val="23"/>
          <w:szCs w:val="23"/>
        </w:rPr>
        <w:t>ome si è già avuto modo di evidenziare</w:t>
      </w:r>
      <w:r>
        <w:rPr>
          <w:rFonts w:cs="Times New Roman"/>
          <w:color w:val="auto"/>
          <w:sz w:val="23"/>
          <w:szCs w:val="23"/>
        </w:rPr>
        <w:t xml:space="preserve">, è altresì indispensabile </w:t>
      </w:r>
      <w:r w:rsidR="000E32FC">
        <w:rPr>
          <w:rFonts w:cs="Times New Roman"/>
          <w:color w:val="auto"/>
          <w:sz w:val="23"/>
          <w:szCs w:val="23"/>
        </w:rPr>
        <w:t xml:space="preserve">che l’Amministrazione, assicurata </w:t>
      </w:r>
      <w:r>
        <w:rPr>
          <w:rFonts w:cs="Times New Roman"/>
          <w:color w:val="auto"/>
          <w:sz w:val="23"/>
          <w:szCs w:val="23"/>
        </w:rPr>
        <w:t>l</w:t>
      </w:r>
      <w:r w:rsidR="000E32FC">
        <w:rPr>
          <w:rFonts w:cs="Times New Roman"/>
          <w:color w:val="auto"/>
          <w:sz w:val="23"/>
          <w:szCs w:val="23"/>
        </w:rPr>
        <w:t xml:space="preserve">’idonea organizzazione </w:t>
      </w:r>
      <w:r>
        <w:rPr>
          <w:rFonts w:cs="Times New Roman"/>
          <w:color w:val="auto"/>
          <w:sz w:val="23"/>
          <w:szCs w:val="23"/>
        </w:rPr>
        <w:t>de</w:t>
      </w:r>
      <w:r w:rsidR="000E32FC">
        <w:rPr>
          <w:rFonts w:cs="Times New Roman"/>
          <w:color w:val="auto"/>
          <w:sz w:val="23"/>
          <w:szCs w:val="23"/>
        </w:rPr>
        <w:t xml:space="preserve">gli uffici regionali, </w:t>
      </w:r>
      <w:r>
        <w:rPr>
          <w:rFonts w:cs="Times New Roman"/>
          <w:color w:val="auto"/>
          <w:sz w:val="23"/>
          <w:szCs w:val="23"/>
        </w:rPr>
        <w:t>favorisca</w:t>
      </w:r>
      <w:r w:rsidR="000E32FC">
        <w:rPr>
          <w:rFonts w:cs="Times New Roman"/>
          <w:color w:val="auto"/>
          <w:sz w:val="23"/>
          <w:szCs w:val="23"/>
        </w:rPr>
        <w:t xml:space="preserve">, </w:t>
      </w:r>
      <w:r w:rsidR="000E32FC" w:rsidRPr="000E32FC">
        <w:rPr>
          <w:rFonts w:cs="Times New Roman"/>
          <w:color w:val="auto"/>
          <w:sz w:val="23"/>
          <w:szCs w:val="23"/>
        </w:rPr>
        <w:t xml:space="preserve">anche attraverso </w:t>
      </w:r>
      <w:r>
        <w:rPr>
          <w:rFonts w:cs="Times New Roman"/>
          <w:color w:val="auto"/>
          <w:sz w:val="23"/>
          <w:szCs w:val="23"/>
        </w:rPr>
        <w:t>costanti</w:t>
      </w:r>
      <w:r w:rsidR="000E32FC" w:rsidRPr="000E32FC">
        <w:rPr>
          <w:rFonts w:cs="Times New Roman"/>
          <w:color w:val="auto"/>
          <w:sz w:val="23"/>
          <w:szCs w:val="23"/>
        </w:rPr>
        <w:t xml:space="preserve"> interventi formativi e di aggiornamento</w:t>
      </w:r>
      <w:r>
        <w:rPr>
          <w:rFonts w:cs="Times New Roman"/>
          <w:color w:val="auto"/>
          <w:sz w:val="23"/>
          <w:szCs w:val="23"/>
        </w:rPr>
        <w:t xml:space="preserve"> del personale</w:t>
      </w:r>
      <w:r w:rsidR="000E32FC" w:rsidRPr="000E32FC">
        <w:rPr>
          <w:rFonts w:cs="Times New Roman"/>
          <w:color w:val="auto"/>
          <w:sz w:val="23"/>
          <w:szCs w:val="23"/>
        </w:rPr>
        <w:t>, comportamenti organizzativi</w:t>
      </w:r>
      <w:r w:rsidR="000E32FC">
        <w:rPr>
          <w:rFonts w:cs="Times New Roman"/>
          <w:color w:val="auto"/>
          <w:sz w:val="23"/>
          <w:szCs w:val="23"/>
        </w:rPr>
        <w:t xml:space="preserve"> e professionali consapevolmente orientati</w:t>
      </w:r>
      <w:r w:rsidR="000E32FC" w:rsidRPr="000E32FC">
        <w:rPr>
          <w:rFonts w:cs="Times New Roman"/>
          <w:color w:val="auto"/>
          <w:sz w:val="23"/>
          <w:szCs w:val="23"/>
        </w:rPr>
        <w:t xml:space="preserve"> all’incremento del benessere del sistema economico e sociale abruzzese</w:t>
      </w:r>
      <w:r w:rsidR="000E32FC">
        <w:rPr>
          <w:rFonts w:cs="Times New Roman"/>
          <w:color w:val="auto"/>
          <w:sz w:val="23"/>
          <w:szCs w:val="23"/>
        </w:rPr>
        <w:t>.</w:t>
      </w:r>
    </w:p>
    <w:p w14:paraId="204F3718" w14:textId="604D8080" w:rsidR="00E62D43" w:rsidRPr="00500BA4" w:rsidRDefault="00E62D43" w:rsidP="00E62D43">
      <w:pPr>
        <w:pStyle w:val="Default"/>
        <w:spacing w:line="276" w:lineRule="auto"/>
        <w:ind w:right="-1"/>
        <w:jc w:val="both"/>
        <w:rPr>
          <w:rFonts w:cs="Times New Roman"/>
          <w:color w:val="auto"/>
          <w:sz w:val="23"/>
          <w:szCs w:val="23"/>
        </w:rPr>
      </w:pPr>
      <w:r w:rsidRPr="00500BA4">
        <w:rPr>
          <w:rFonts w:cs="Times New Roman"/>
          <w:color w:val="auto"/>
          <w:sz w:val="23"/>
          <w:szCs w:val="23"/>
        </w:rPr>
        <w:t xml:space="preserve">Eventuali modifiche organizzative che dovessero essere adottate successivamente all’adozione del PIAO, ove incidano in maniera rilevante sulle attività di competenza dei Dipartimenti e dei Servizi Autonomi </w:t>
      </w:r>
      <w:r w:rsidR="00500BA4" w:rsidRPr="00500BA4">
        <w:rPr>
          <w:rFonts w:cs="Times New Roman"/>
          <w:color w:val="auto"/>
          <w:sz w:val="23"/>
          <w:szCs w:val="23"/>
        </w:rPr>
        <w:t xml:space="preserve">potranno comportare </w:t>
      </w:r>
      <w:r w:rsidRPr="00500BA4">
        <w:rPr>
          <w:rFonts w:cs="Times New Roman"/>
          <w:color w:val="auto"/>
          <w:sz w:val="23"/>
          <w:szCs w:val="23"/>
        </w:rPr>
        <w:t>una revisione della mappatura dei processi.</w:t>
      </w:r>
    </w:p>
    <w:p w14:paraId="1AD5808E" w14:textId="77777777" w:rsidR="002E436C" w:rsidRPr="00500BA4" w:rsidRDefault="00326B5E" w:rsidP="00582EFE">
      <w:pPr>
        <w:pStyle w:val="Default"/>
        <w:spacing w:line="276" w:lineRule="auto"/>
        <w:ind w:right="-1"/>
        <w:jc w:val="both"/>
        <w:rPr>
          <w:rFonts w:cs="Times New Roman"/>
          <w:color w:val="auto"/>
          <w:sz w:val="23"/>
          <w:szCs w:val="23"/>
        </w:rPr>
      </w:pPr>
      <w:r w:rsidRPr="00500BA4">
        <w:rPr>
          <w:rFonts w:cs="Times New Roman"/>
          <w:color w:val="auto"/>
          <w:sz w:val="23"/>
          <w:szCs w:val="23"/>
        </w:rPr>
        <w:lastRenderedPageBreak/>
        <w:t xml:space="preserve">Le risultanze del monitoraggio dell’attuazione delle misure di prevenzione della corruzione e delle misure di trasparenza del PTPCT 2021-2023 hanno evidenziato talune criticità </w:t>
      </w:r>
      <w:r w:rsidR="0064653C" w:rsidRPr="00500BA4">
        <w:rPr>
          <w:rFonts w:cs="Times New Roman"/>
          <w:color w:val="auto"/>
          <w:sz w:val="23"/>
          <w:szCs w:val="23"/>
        </w:rPr>
        <w:t xml:space="preserve">che, sebbene non sostanziali, hanno </w:t>
      </w:r>
      <w:r w:rsidR="00504490" w:rsidRPr="00500BA4">
        <w:rPr>
          <w:rFonts w:cs="Times New Roman"/>
          <w:color w:val="auto"/>
          <w:sz w:val="23"/>
          <w:szCs w:val="23"/>
        </w:rPr>
        <w:t>portato ad una più chiara descrizione di taluni processi e delle correlate misure a presidio</w:t>
      </w:r>
      <w:r w:rsidR="00363F56" w:rsidRPr="00500BA4">
        <w:rPr>
          <w:rFonts w:cs="Times New Roman"/>
          <w:color w:val="auto"/>
          <w:sz w:val="23"/>
          <w:szCs w:val="23"/>
        </w:rPr>
        <w:t>,</w:t>
      </w:r>
      <w:r w:rsidR="00504490" w:rsidRPr="00500BA4">
        <w:rPr>
          <w:rFonts w:cs="Times New Roman"/>
          <w:color w:val="auto"/>
          <w:sz w:val="23"/>
          <w:szCs w:val="23"/>
        </w:rPr>
        <w:t xml:space="preserve"> anche grazie all’aggiornamento della rete dei referenti che ha consentito di migliorare </w:t>
      </w:r>
      <w:r w:rsidR="0064653C" w:rsidRPr="00500BA4">
        <w:rPr>
          <w:rFonts w:cs="Times New Roman"/>
          <w:color w:val="auto"/>
          <w:sz w:val="23"/>
          <w:szCs w:val="23"/>
        </w:rPr>
        <w:t xml:space="preserve">le interlocuzioni con </w:t>
      </w:r>
      <w:r w:rsidR="00504490" w:rsidRPr="00500BA4">
        <w:rPr>
          <w:rFonts w:cs="Times New Roman"/>
          <w:color w:val="auto"/>
          <w:sz w:val="23"/>
          <w:szCs w:val="23"/>
        </w:rPr>
        <w:t>le strutture</w:t>
      </w:r>
      <w:r w:rsidR="0064653C" w:rsidRPr="00500BA4">
        <w:rPr>
          <w:rFonts w:cs="Times New Roman"/>
          <w:color w:val="auto"/>
          <w:sz w:val="23"/>
          <w:szCs w:val="23"/>
        </w:rPr>
        <w:t xml:space="preserve"> della Giunta R</w:t>
      </w:r>
      <w:r w:rsidR="00504490" w:rsidRPr="00500BA4">
        <w:rPr>
          <w:rFonts w:cs="Times New Roman"/>
          <w:color w:val="auto"/>
          <w:sz w:val="23"/>
          <w:szCs w:val="23"/>
        </w:rPr>
        <w:t>egionale</w:t>
      </w:r>
      <w:r w:rsidR="0064653C" w:rsidRPr="00500BA4">
        <w:rPr>
          <w:rFonts w:cs="Times New Roman"/>
          <w:color w:val="auto"/>
          <w:sz w:val="23"/>
          <w:szCs w:val="23"/>
        </w:rPr>
        <w:t>.</w:t>
      </w:r>
      <w:r w:rsidR="00504490" w:rsidRPr="00500BA4">
        <w:rPr>
          <w:rFonts w:cs="Times New Roman"/>
          <w:color w:val="auto"/>
          <w:sz w:val="23"/>
          <w:szCs w:val="23"/>
        </w:rPr>
        <w:t xml:space="preserve"> </w:t>
      </w:r>
    </w:p>
    <w:p w14:paraId="76A4AAF3" w14:textId="7894D8D9" w:rsidR="002E436C" w:rsidRDefault="002E436C" w:rsidP="00582EFE">
      <w:pPr>
        <w:pStyle w:val="Default"/>
        <w:spacing w:line="276" w:lineRule="auto"/>
        <w:ind w:right="-1"/>
        <w:jc w:val="both"/>
        <w:rPr>
          <w:rFonts w:cs="Times New Roman"/>
          <w:color w:val="00B050"/>
          <w:sz w:val="23"/>
          <w:szCs w:val="23"/>
        </w:rPr>
      </w:pPr>
      <w:r w:rsidRPr="008A440E">
        <w:rPr>
          <w:rFonts w:cs="Times New Roman"/>
          <w:color w:val="auto"/>
          <w:sz w:val="23"/>
          <w:szCs w:val="23"/>
        </w:rPr>
        <w:t>L’attività di supporto al RPCT da parte dei referenti è stata oggetto di particolare attenzione anche all’interno del PNA 2022 che, ai fini dell’impostazione di un’attenta attività di monitoraggio suggerisce di prevedere che all’interno del PIAO siano identificati i soggetti che devono relazionare periodicamente al RPCT al fine di aggiornarlo sia sullo stato di attuazione/adeguatezza delle misure di trattamento che sulle attività di controllo interno svolte con relative scadenze.</w:t>
      </w:r>
      <w:r w:rsidR="00170C30" w:rsidRPr="008A440E">
        <w:rPr>
          <w:rFonts w:cs="Times New Roman"/>
          <w:color w:val="auto"/>
          <w:sz w:val="23"/>
          <w:szCs w:val="23"/>
        </w:rPr>
        <w:t xml:space="preserve"> A tal fine si riporta di seguito l’elenco dei referenti del RPCT individuati dai Dipartimenti/Servizi Autonomi della Giunta regionale in riscontro alla nota RPCT </w:t>
      </w:r>
      <w:proofErr w:type="spellStart"/>
      <w:r w:rsidR="00170C30" w:rsidRPr="008A440E">
        <w:rPr>
          <w:rFonts w:cs="Times New Roman"/>
          <w:color w:val="auto"/>
          <w:sz w:val="23"/>
          <w:szCs w:val="23"/>
        </w:rPr>
        <w:t>prot</w:t>
      </w:r>
      <w:proofErr w:type="spellEnd"/>
      <w:r w:rsidR="00170C30" w:rsidRPr="008A440E">
        <w:rPr>
          <w:rFonts w:cs="Times New Roman"/>
          <w:color w:val="auto"/>
          <w:sz w:val="23"/>
          <w:szCs w:val="23"/>
        </w:rPr>
        <w:t>. n. 0203468/22 del 24.05.2022:</w:t>
      </w:r>
      <w:r w:rsidR="00983E3D">
        <w:rPr>
          <w:rFonts w:cs="Times New Roman"/>
          <w:color w:val="00B050"/>
          <w:sz w:val="23"/>
          <w:szCs w:val="23"/>
        </w:rPr>
        <w:t xml:space="preserve"> </w:t>
      </w:r>
    </w:p>
    <w:p w14:paraId="014FF8C5" w14:textId="77777777" w:rsidR="00C377D6" w:rsidRPr="00983E3D" w:rsidRDefault="00C377D6" w:rsidP="00582EFE">
      <w:pPr>
        <w:pStyle w:val="Default"/>
        <w:spacing w:line="276" w:lineRule="auto"/>
        <w:ind w:right="-1"/>
        <w:jc w:val="both"/>
        <w:rPr>
          <w:rFonts w:cs="Times New Roman"/>
          <w:color w:val="00B050"/>
          <w:sz w:val="23"/>
          <w:szCs w:val="23"/>
        </w:rPr>
      </w:pPr>
    </w:p>
    <w:tbl>
      <w:tblPr>
        <w:tblStyle w:val="Grigliatabella"/>
        <w:tblW w:w="9497" w:type="dxa"/>
        <w:tblInd w:w="137" w:type="dxa"/>
        <w:tblLayout w:type="fixed"/>
        <w:tblLook w:val="04A0" w:firstRow="1" w:lastRow="0" w:firstColumn="1" w:lastColumn="0" w:noHBand="0" w:noVBand="1"/>
      </w:tblPr>
      <w:tblGrid>
        <w:gridCol w:w="5528"/>
        <w:gridCol w:w="3969"/>
      </w:tblGrid>
      <w:tr w:rsidR="00170C30" w:rsidRPr="00170C30" w14:paraId="5EE37343" w14:textId="77777777" w:rsidTr="00170C30">
        <w:trPr>
          <w:trHeight w:val="253"/>
        </w:trPr>
        <w:tc>
          <w:tcPr>
            <w:tcW w:w="5528" w:type="dxa"/>
          </w:tcPr>
          <w:p w14:paraId="79CA4973" w14:textId="5612D6B9" w:rsidR="00170C30" w:rsidRPr="00983E3D" w:rsidRDefault="00170C30" w:rsidP="00170C30">
            <w:pPr>
              <w:pStyle w:val="Default"/>
              <w:spacing w:before="120" w:after="120"/>
              <w:rPr>
                <w:rFonts w:cs="Times New Roman"/>
                <w:color w:val="auto"/>
                <w:sz w:val="23"/>
                <w:szCs w:val="23"/>
              </w:rPr>
            </w:pPr>
            <w:r w:rsidRPr="00983E3D">
              <w:rPr>
                <w:rFonts w:cs="Times New Roman"/>
                <w:color w:val="auto"/>
                <w:sz w:val="23"/>
                <w:szCs w:val="23"/>
              </w:rPr>
              <w:t>DIPARTIMENTO/SERVIZIO AUTONOMO</w:t>
            </w:r>
          </w:p>
        </w:tc>
        <w:tc>
          <w:tcPr>
            <w:tcW w:w="3969" w:type="dxa"/>
          </w:tcPr>
          <w:p w14:paraId="6070B52D" w14:textId="54930EEA" w:rsidR="00170C30" w:rsidRPr="00983E3D" w:rsidRDefault="00170C30" w:rsidP="00170C30">
            <w:pPr>
              <w:pStyle w:val="Default"/>
              <w:spacing w:before="120" w:after="120"/>
              <w:rPr>
                <w:rFonts w:cs="Times New Roman"/>
                <w:color w:val="auto"/>
                <w:sz w:val="23"/>
                <w:szCs w:val="23"/>
              </w:rPr>
            </w:pPr>
            <w:r w:rsidRPr="00983E3D">
              <w:rPr>
                <w:rFonts w:cs="Times New Roman"/>
                <w:color w:val="auto"/>
                <w:sz w:val="23"/>
                <w:szCs w:val="23"/>
              </w:rPr>
              <w:t>REFERENTE</w:t>
            </w:r>
          </w:p>
        </w:tc>
      </w:tr>
      <w:tr w:rsidR="00170C30" w:rsidRPr="00170C30" w14:paraId="1FCAEAF2" w14:textId="77777777" w:rsidTr="00170C30">
        <w:trPr>
          <w:trHeight w:val="253"/>
        </w:trPr>
        <w:tc>
          <w:tcPr>
            <w:tcW w:w="5528" w:type="dxa"/>
          </w:tcPr>
          <w:p w14:paraId="672A7680" w14:textId="78476A4E"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Direzione generale della Regione - DRG</w:t>
            </w:r>
          </w:p>
        </w:tc>
        <w:tc>
          <w:tcPr>
            <w:tcW w:w="3969" w:type="dxa"/>
          </w:tcPr>
          <w:p w14:paraId="0B7CD65D" w14:textId="77777777"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Paola LOSITO</w:t>
            </w:r>
          </w:p>
          <w:p w14:paraId="63110A74" w14:textId="4F385592"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Giuseppe SPEDICATO</w:t>
            </w:r>
          </w:p>
        </w:tc>
      </w:tr>
      <w:tr w:rsidR="00170C30" w:rsidRPr="00170C30" w14:paraId="7E7C779B" w14:textId="77777777" w:rsidTr="00170C30">
        <w:trPr>
          <w:trHeight w:val="244"/>
        </w:trPr>
        <w:tc>
          <w:tcPr>
            <w:tcW w:w="5528" w:type="dxa"/>
          </w:tcPr>
          <w:p w14:paraId="03541FD9" w14:textId="0FDBBA34"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 xml:space="preserve">Dipartimento Presidenza - DPA  </w:t>
            </w:r>
          </w:p>
        </w:tc>
        <w:tc>
          <w:tcPr>
            <w:tcW w:w="3969" w:type="dxa"/>
          </w:tcPr>
          <w:p w14:paraId="4D567CE1" w14:textId="77777777"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Carmen RANALLI</w:t>
            </w:r>
          </w:p>
          <w:p w14:paraId="0A01B4A9" w14:textId="77777777"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Chiara COLANGELO</w:t>
            </w:r>
          </w:p>
        </w:tc>
      </w:tr>
      <w:tr w:rsidR="00170C30" w:rsidRPr="00170C30" w14:paraId="0D164C7D" w14:textId="77777777" w:rsidTr="00170C30">
        <w:trPr>
          <w:trHeight w:val="253"/>
        </w:trPr>
        <w:tc>
          <w:tcPr>
            <w:tcW w:w="5528" w:type="dxa"/>
          </w:tcPr>
          <w:p w14:paraId="080568B4" w14:textId="03662D33"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Dipartimento Risorse - Sede L'Aquila - DPB</w:t>
            </w:r>
          </w:p>
        </w:tc>
        <w:tc>
          <w:tcPr>
            <w:tcW w:w="3969" w:type="dxa"/>
          </w:tcPr>
          <w:p w14:paraId="528E6A60" w14:textId="77777777"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 xml:space="preserve">Fabiola DI GREGORIO </w:t>
            </w:r>
          </w:p>
          <w:p w14:paraId="3C93CC6D" w14:textId="77777777"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 xml:space="preserve">Sabrina RAVANESI </w:t>
            </w:r>
          </w:p>
        </w:tc>
      </w:tr>
      <w:tr w:rsidR="00170C30" w:rsidRPr="00170C30" w14:paraId="1E0897A1" w14:textId="77777777" w:rsidTr="00170C30">
        <w:trPr>
          <w:trHeight w:val="246"/>
        </w:trPr>
        <w:tc>
          <w:tcPr>
            <w:tcW w:w="5528" w:type="dxa"/>
          </w:tcPr>
          <w:p w14:paraId="2B81178D" w14:textId="5CECF2F3"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Dipartimento Territorio - Ambiente -  DPC</w:t>
            </w:r>
          </w:p>
        </w:tc>
        <w:tc>
          <w:tcPr>
            <w:tcW w:w="3969" w:type="dxa"/>
          </w:tcPr>
          <w:p w14:paraId="12714249" w14:textId="77777777"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Paola CICERONE</w:t>
            </w:r>
          </w:p>
        </w:tc>
      </w:tr>
      <w:tr w:rsidR="00170C30" w:rsidRPr="00170C30" w14:paraId="10E76285" w14:textId="77777777" w:rsidTr="00170C30">
        <w:trPr>
          <w:trHeight w:val="575"/>
        </w:trPr>
        <w:tc>
          <w:tcPr>
            <w:tcW w:w="5528" w:type="dxa"/>
          </w:tcPr>
          <w:p w14:paraId="4AADBC4D" w14:textId="21E34AD4"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 xml:space="preserve">Dipartimento Agricoltura - DPD </w:t>
            </w:r>
          </w:p>
        </w:tc>
        <w:tc>
          <w:tcPr>
            <w:tcW w:w="3969" w:type="dxa"/>
          </w:tcPr>
          <w:p w14:paraId="061DB463" w14:textId="77777777"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Gianluca MASSI</w:t>
            </w:r>
          </w:p>
          <w:p w14:paraId="3C9DE859" w14:textId="77777777" w:rsidR="00170C30" w:rsidRPr="00983E3D" w:rsidRDefault="00170C30" w:rsidP="00170C30">
            <w:pPr>
              <w:pStyle w:val="Default"/>
              <w:spacing w:before="120" w:after="120"/>
              <w:ind w:right="-1"/>
              <w:jc w:val="both"/>
              <w:rPr>
                <w:rFonts w:cs="Times New Roman"/>
                <w:color w:val="auto"/>
                <w:sz w:val="23"/>
                <w:szCs w:val="23"/>
              </w:rPr>
            </w:pPr>
            <w:r w:rsidRPr="00983E3D">
              <w:rPr>
                <w:rFonts w:cs="Times New Roman"/>
                <w:color w:val="auto"/>
                <w:sz w:val="23"/>
                <w:szCs w:val="23"/>
              </w:rPr>
              <w:t>Maria Grazia MAZZUCCHI SABATINI</w:t>
            </w:r>
          </w:p>
        </w:tc>
      </w:tr>
      <w:tr w:rsidR="00170C30" w:rsidRPr="00170C30" w14:paraId="4E93FCFB" w14:textId="77777777" w:rsidTr="00170C30">
        <w:trPr>
          <w:trHeight w:val="244"/>
        </w:trPr>
        <w:tc>
          <w:tcPr>
            <w:tcW w:w="5528" w:type="dxa"/>
          </w:tcPr>
          <w:p w14:paraId="17BB4709" w14:textId="1047B04F"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Dipartimento Infrastrutture - Trasporti -  DPE</w:t>
            </w:r>
          </w:p>
        </w:tc>
        <w:tc>
          <w:tcPr>
            <w:tcW w:w="3969" w:type="dxa"/>
          </w:tcPr>
          <w:p w14:paraId="06A0D906" w14:textId="77777777"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Piera TOZZI</w:t>
            </w:r>
          </w:p>
          <w:p w14:paraId="63B269DC" w14:textId="77777777"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Ilaria DI LUIGI</w:t>
            </w:r>
          </w:p>
        </w:tc>
      </w:tr>
      <w:tr w:rsidR="00170C30" w:rsidRPr="00170C30" w14:paraId="776F0C98" w14:textId="77777777" w:rsidTr="00170C30">
        <w:trPr>
          <w:trHeight w:val="236"/>
        </w:trPr>
        <w:tc>
          <w:tcPr>
            <w:tcW w:w="5528" w:type="dxa"/>
          </w:tcPr>
          <w:p w14:paraId="1E5CFDC8" w14:textId="4EE87E90"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Dipartimento Sanità - Sede Pescara - DPF</w:t>
            </w:r>
          </w:p>
        </w:tc>
        <w:tc>
          <w:tcPr>
            <w:tcW w:w="3969" w:type="dxa"/>
          </w:tcPr>
          <w:p w14:paraId="708097E7" w14:textId="77777777"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Barbara MORGANTI</w:t>
            </w:r>
          </w:p>
          <w:p w14:paraId="1050663E" w14:textId="77777777"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Elisabetta COMPARETTI</w:t>
            </w:r>
          </w:p>
        </w:tc>
      </w:tr>
      <w:tr w:rsidR="00170C30" w:rsidRPr="00170C30" w14:paraId="61678960" w14:textId="77777777" w:rsidTr="00170C30">
        <w:trPr>
          <w:trHeight w:val="314"/>
        </w:trPr>
        <w:tc>
          <w:tcPr>
            <w:tcW w:w="5528" w:type="dxa"/>
          </w:tcPr>
          <w:p w14:paraId="7A432CA2" w14:textId="4777BB3A"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Dipartimento Lavoro - Sociale -  DPG</w:t>
            </w:r>
          </w:p>
        </w:tc>
        <w:tc>
          <w:tcPr>
            <w:tcW w:w="3969" w:type="dxa"/>
          </w:tcPr>
          <w:p w14:paraId="7E144825" w14:textId="77777777"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Enzo CIPOLLONE</w:t>
            </w:r>
          </w:p>
          <w:p w14:paraId="6B20B909" w14:textId="77777777"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Gina DI NICOLA</w:t>
            </w:r>
          </w:p>
        </w:tc>
      </w:tr>
      <w:tr w:rsidR="00170C30" w:rsidRPr="00170C30" w14:paraId="74656997" w14:textId="77777777" w:rsidTr="00170C30">
        <w:trPr>
          <w:trHeight w:val="375"/>
        </w:trPr>
        <w:tc>
          <w:tcPr>
            <w:tcW w:w="5528" w:type="dxa"/>
          </w:tcPr>
          <w:p w14:paraId="5C0E127F" w14:textId="5F71F7EA" w:rsidR="00170C30" w:rsidRPr="00983E3D" w:rsidRDefault="00170C30" w:rsidP="00170C30">
            <w:pPr>
              <w:pStyle w:val="Default"/>
              <w:spacing w:before="120" w:after="120"/>
              <w:ind w:right="-1"/>
              <w:rPr>
                <w:rFonts w:cs="Times New Roman"/>
                <w:color w:val="auto"/>
                <w:sz w:val="23"/>
                <w:szCs w:val="23"/>
              </w:rPr>
            </w:pPr>
            <w:r w:rsidRPr="00983E3D">
              <w:rPr>
                <w:rFonts w:cs="Times New Roman"/>
                <w:color w:val="auto"/>
                <w:sz w:val="23"/>
                <w:szCs w:val="23"/>
              </w:rPr>
              <w:t>Dipartimento Sviluppo economico - Turismo - DPH</w:t>
            </w:r>
          </w:p>
        </w:tc>
        <w:tc>
          <w:tcPr>
            <w:tcW w:w="3969" w:type="dxa"/>
          </w:tcPr>
          <w:p w14:paraId="22E87E2F" w14:textId="77777777" w:rsidR="00170C30" w:rsidRPr="00983E3D" w:rsidRDefault="00170C30" w:rsidP="00170C30">
            <w:pPr>
              <w:pStyle w:val="Default"/>
              <w:spacing w:before="120" w:after="120"/>
              <w:ind w:right="-1"/>
              <w:jc w:val="both"/>
              <w:rPr>
                <w:rFonts w:cs="Times New Roman"/>
                <w:color w:val="auto"/>
                <w:sz w:val="23"/>
                <w:szCs w:val="23"/>
              </w:rPr>
            </w:pPr>
            <w:r w:rsidRPr="00983E3D">
              <w:rPr>
                <w:rFonts w:cs="Times New Roman"/>
                <w:color w:val="auto"/>
                <w:sz w:val="23"/>
                <w:szCs w:val="23"/>
              </w:rPr>
              <w:t>Rita DI GIACOMO</w:t>
            </w:r>
          </w:p>
          <w:p w14:paraId="4C3DA811" w14:textId="77777777" w:rsidR="00170C30" w:rsidRPr="00983E3D" w:rsidRDefault="00170C30" w:rsidP="00170C30">
            <w:pPr>
              <w:pStyle w:val="Default"/>
              <w:spacing w:before="120" w:after="120"/>
              <w:ind w:right="-1"/>
              <w:jc w:val="both"/>
              <w:rPr>
                <w:rFonts w:cs="Times New Roman"/>
                <w:color w:val="auto"/>
                <w:sz w:val="23"/>
                <w:szCs w:val="23"/>
              </w:rPr>
            </w:pPr>
            <w:r w:rsidRPr="00983E3D">
              <w:rPr>
                <w:rFonts w:cs="Times New Roman"/>
                <w:color w:val="auto"/>
                <w:sz w:val="23"/>
                <w:szCs w:val="23"/>
              </w:rPr>
              <w:t>Tania DEL SIGNORE</w:t>
            </w:r>
          </w:p>
        </w:tc>
      </w:tr>
      <w:tr w:rsidR="00170C30" w:rsidRPr="00170C30" w14:paraId="60D9BC83" w14:textId="77777777" w:rsidTr="005014DA">
        <w:trPr>
          <w:trHeight w:val="253"/>
        </w:trPr>
        <w:tc>
          <w:tcPr>
            <w:tcW w:w="5528" w:type="dxa"/>
          </w:tcPr>
          <w:p w14:paraId="0A6EC670" w14:textId="77777777" w:rsidR="00170C30" w:rsidRPr="00983E3D" w:rsidRDefault="00170C30" w:rsidP="005014DA">
            <w:pPr>
              <w:pStyle w:val="Default"/>
              <w:spacing w:before="120" w:after="120"/>
              <w:ind w:right="-1"/>
              <w:rPr>
                <w:rFonts w:cs="Times New Roman"/>
                <w:color w:val="auto"/>
                <w:sz w:val="23"/>
                <w:szCs w:val="23"/>
              </w:rPr>
            </w:pPr>
            <w:r w:rsidRPr="00983E3D">
              <w:rPr>
                <w:rFonts w:cs="Times New Roman"/>
                <w:color w:val="auto"/>
                <w:sz w:val="23"/>
                <w:szCs w:val="23"/>
              </w:rPr>
              <w:t>Servizio autonomo Audit - ADA</w:t>
            </w:r>
          </w:p>
        </w:tc>
        <w:tc>
          <w:tcPr>
            <w:tcW w:w="3969" w:type="dxa"/>
          </w:tcPr>
          <w:p w14:paraId="56BF5C00" w14:textId="77777777" w:rsidR="00170C30" w:rsidRPr="00983E3D" w:rsidRDefault="00170C30" w:rsidP="005014DA">
            <w:pPr>
              <w:pStyle w:val="Default"/>
              <w:spacing w:before="120" w:after="120"/>
              <w:ind w:right="-1"/>
              <w:rPr>
                <w:rFonts w:cs="Times New Roman"/>
                <w:color w:val="auto"/>
                <w:sz w:val="23"/>
                <w:szCs w:val="23"/>
              </w:rPr>
            </w:pPr>
            <w:r w:rsidRPr="00983E3D">
              <w:rPr>
                <w:rFonts w:cs="Times New Roman"/>
                <w:color w:val="auto"/>
                <w:sz w:val="23"/>
                <w:szCs w:val="23"/>
              </w:rPr>
              <w:t>Alfonso MAGLIOCCO</w:t>
            </w:r>
          </w:p>
          <w:p w14:paraId="06395760" w14:textId="77777777" w:rsidR="00170C30" w:rsidRPr="00983E3D" w:rsidRDefault="00170C30" w:rsidP="005014DA">
            <w:pPr>
              <w:pStyle w:val="Default"/>
              <w:spacing w:before="120" w:after="120"/>
              <w:ind w:right="-1"/>
              <w:rPr>
                <w:rFonts w:cs="Times New Roman"/>
                <w:color w:val="auto"/>
                <w:sz w:val="23"/>
                <w:szCs w:val="23"/>
              </w:rPr>
            </w:pPr>
            <w:r w:rsidRPr="00983E3D">
              <w:rPr>
                <w:rFonts w:cs="Times New Roman"/>
                <w:color w:val="auto"/>
                <w:sz w:val="23"/>
                <w:szCs w:val="23"/>
              </w:rPr>
              <w:t>Costanza PELLEGRINI</w:t>
            </w:r>
          </w:p>
        </w:tc>
      </w:tr>
      <w:tr w:rsidR="00170C30" w:rsidRPr="00170C30" w14:paraId="6C46A927" w14:textId="77777777" w:rsidTr="005014DA">
        <w:trPr>
          <w:trHeight w:val="244"/>
        </w:trPr>
        <w:tc>
          <w:tcPr>
            <w:tcW w:w="5528" w:type="dxa"/>
          </w:tcPr>
          <w:p w14:paraId="1C21E81A" w14:textId="77777777" w:rsidR="00170C30" w:rsidRPr="00983E3D" w:rsidRDefault="00170C30" w:rsidP="005014DA">
            <w:pPr>
              <w:pStyle w:val="Default"/>
              <w:spacing w:before="120" w:after="120"/>
              <w:ind w:right="-1"/>
              <w:rPr>
                <w:rFonts w:cs="Times New Roman"/>
                <w:color w:val="auto"/>
                <w:sz w:val="23"/>
                <w:szCs w:val="23"/>
              </w:rPr>
            </w:pPr>
            <w:r w:rsidRPr="00983E3D">
              <w:rPr>
                <w:rFonts w:cs="Times New Roman"/>
                <w:color w:val="auto"/>
                <w:sz w:val="23"/>
                <w:szCs w:val="23"/>
              </w:rPr>
              <w:t>Servizio autonomo Avvocatura regionale - AVV</w:t>
            </w:r>
          </w:p>
        </w:tc>
        <w:tc>
          <w:tcPr>
            <w:tcW w:w="3969" w:type="dxa"/>
          </w:tcPr>
          <w:p w14:paraId="5BD1E03F" w14:textId="77777777" w:rsidR="00170C30" w:rsidRPr="00983E3D" w:rsidRDefault="00170C30" w:rsidP="005014DA">
            <w:pPr>
              <w:pStyle w:val="Default"/>
              <w:spacing w:before="120" w:after="120"/>
              <w:ind w:right="-1"/>
              <w:rPr>
                <w:rFonts w:cs="Times New Roman"/>
                <w:color w:val="auto"/>
                <w:sz w:val="23"/>
                <w:szCs w:val="23"/>
              </w:rPr>
            </w:pPr>
            <w:r w:rsidRPr="00983E3D">
              <w:rPr>
                <w:rFonts w:cs="Times New Roman"/>
                <w:color w:val="auto"/>
                <w:sz w:val="23"/>
                <w:szCs w:val="23"/>
              </w:rPr>
              <w:t>Daniela ALIMONTI</w:t>
            </w:r>
          </w:p>
          <w:p w14:paraId="1D94B093" w14:textId="77777777" w:rsidR="00170C30" w:rsidRPr="00983E3D" w:rsidRDefault="00170C30" w:rsidP="005014DA">
            <w:pPr>
              <w:pStyle w:val="Default"/>
              <w:spacing w:before="120" w:after="120"/>
              <w:ind w:right="-1"/>
              <w:rPr>
                <w:rFonts w:cs="Times New Roman"/>
                <w:color w:val="auto"/>
                <w:sz w:val="23"/>
                <w:szCs w:val="23"/>
              </w:rPr>
            </w:pPr>
            <w:r w:rsidRPr="00983E3D">
              <w:rPr>
                <w:rFonts w:cs="Times New Roman"/>
                <w:color w:val="auto"/>
                <w:sz w:val="23"/>
                <w:szCs w:val="23"/>
              </w:rPr>
              <w:t>Stefania VALERI</w:t>
            </w:r>
          </w:p>
        </w:tc>
      </w:tr>
      <w:tr w:rsidR="00170C30" w:rsidRPr="00170C30" w14:paraId="2F3C47AB" w14:textId="77777777" w:rsidTr="005014DA">
        <w:trPr>
          <w:trHeight w:val="253"/>
        </w:trPr>
        <w:tc>
          <w:tcPr>
            <w:tcW w:w="5528" w:type="dxa"/>
          </w:tcPr>
          <w:p w14:paraId="6DD42E62" w14:textId="77777777" w:rsidR="00170C30" w:rsidRPr="00983E3D" w:rsidRDefault="00170C30" w:rsidP="005014DA">
            <w:pPr>
              <w:pStyle w:val="Default"/>
              <w:spacing w:before="120" w:after="120"/>
              <w:ind w:right="-1"/>
              <w:rPr>
                <w:rFonts w:cs="Times New Roman"/>
                <w:color w:val="auto"/>
                <w:sz w:val="23"/>
                <w:szCs w:val="23"/>
              </w:rPr>
            </w:pPr>
            <w:r w:rsidRPr="00983E3D">
              <w:rPr>
                <w:rFonts w:cs="Times New Roman"/>
                <w:color w:val="auto"/>
                <w:sz w:val="23"/>
                <w:szCs w:val="23"/>
              </w:rPr>
              <w:t>Servizio autonomo Gabinetto di Presidenza - GAB</w:t>
            </w:r>
          </w:p>
        </w:tc>
        <w:tc>
          <w:tcPr>
            <w:tcW w:w="3969" w:type="dxa"/>
          </w:tcPr>
          <w:p w14:paraId="00045121" w14:textId="77777777" w:rsidR="00170C30" w:rsidRPr="00983E3D" w:rsidRDefault="00170C30" w:rsidP="005014DA">
            <w:pPr>
              <w:pStyle w:val="Default"/>
              <w:spacing w:before="120" w:after="120"/>
              <w:ind w:right="-1"/>
              <w:rPr>
                <w:rFonts w:cs="Times New Roman"/>
                <w:color w:val="auto"/>
                <w:sz w:val="23"/>
                <w:szCs w:val="23"/>
              </w:rPr>
            </w:pPr>
            <w:r w:rsidRPr="00983E3D">
              <w:rPr>
                <w:rFonts w:cs="Times New Roman"/>
                <w:color w:val="auto"/>
                <w:sz w:val="23"/>
                <w:szCs w:val="23"/>
              </w:rPr>
              <w:t>Roberta COPERSINO</w:t>
            </w:r>
          </w:p>
          <w:p w14:paraId="40A90547" w14:textId="77777777" w:rsidR="00170C30" w:rsidRPr="00983E3D" w:rsidRDefault="00170C30" w:rsidP="005014DA">
            <w:pPr>
              <w:pStyle w:val="Default"/>
              <w:spacing w:before="120" w:after="120"/>
              <w:ind w:right="-1"/>
              <w:rPr>
                <w:rFonts w:cs="Times New Roman"/>
                <w:color w:val="auto"/>
                <w:sz w:val="23"/>
                <w:szCs w:val="23"/>
              </w:rPr>
            </w:pPr>
            <w:r w:rsidRPr="00983E3D">
              <w:rPr>
                <w:rFonts w:cs="Times New Roman"/>
                <w:color w:val="auto"/>
                <w:sz w:val="23"/>
                <w:szCs w:val="23"/>
              </w:rPr>
              <w:lastRenderedPageBreak/>
              <w:t>Paola DELL'UOMO</w:t>
            </w:r>
          </w:p>
        </w:tc>
      </w:tr>
    </w:tbl>
    <w:p w14:paraId="56FF4E8A" w14:textId="0F7643E5" w:rsidR="00170C30" w:rsidRDefault="00170C30" w:rsidP="00582EFE">
      <w:pPr>
        <w:pStyle w:val="Default"/>
        <w:spacing w:line="276" w:lineRule="auto"/>
        <w:ind w:right="-1"/>
        <w:jc w:val="both"/>
        <w:rPr>
          <w:rFonts w:cs="Times New Roman"/>
          <w:color w:val="00B050"/>
          <w:sz w:val="23"/>
          <w:szCs w:val="23"/>
        </w:rPr>
      </w:pPr>
    </w:p>
    <w:p w14:paraId="471767CE" w14:textId="06C1C794" w:rsidR="00170C30" w:rsidRPr="00983E3D" w:rsidRDefault="00170C30" w:rsidP="00582EFE">
      <w:pPr>
        <w:pStyle w:val="Default"/>
        <w:spacing w:line="276" w:lineRule="auto"/>
        <w:ind w:right="-1"/>
        <w:jc w:val="both"/>
        <w:rPr>
          <w:rFonts w:cs="Times New Roman"/>
          <w:color w:val="00B050"/>
          <w:sz w:val="23"/>
          <w:szCs w:val="23"/>
        </w:rPr>
      </w:pPr>
      <w:r w:rsidRPr="009E6815">
        <w:rPr>
          <w:rFonts w:cs="Times New Roman"/>
          <w:color w:val="auto"/>
          <w:sz w:val="23"/>
          <w:szCs w:val="23"/>
        </w:rPr>
        <w:t>I suddetti referenti</w:t>
      </w:r>
      <w:r w:rsidR="0052015F" w:rsidRPr="009E6815">
        <w:rPr>
          <w:rFonts w:cs="Times New Roman"/>
          <w:color w:val="auto"/>
          <w:sz w:val="23"/>
          <w:szCs w:val="23"/>
        </w:rPr>
        <w:t xml:space="preserve"> si confronteranno regolarmente con il RPCT e con i relativi Uffici di supporto</w:t>
      </w:r>
      <w:r w:rsidR="00983E3D" w:rsidRPr="009E6815">
        <w:rPr>
          <w:rFonts w:cs="Times New Roman"/>
          <w:color w:val="auto"/>
          <w:sz w:val="23"/>
          <w:szCs w:val="23"/>
        </w:rPr>
        <w:t xml:space="preserve"> in occasione</w:t>
      </w:r>
      <w:r w:rsidR="0052015F" w:rsidRPr="009E6815">
        <w:rPr>
          <w:rFonts w:cs="Times New Roman"/>
          <w:color w:val="auto"/>
          <w:sz w:val="23"/>
          <w:szCs w:val="23"/>
        </w:rPr>
        <w:t xml:space="preserve"> di almeno un incontro annuale che sarà convocato dal RPCT.</w:t>
      </w:r>
    </w:p>
    <w:p w14:paraId="00BCA69E" w14:textId="50A95138" w:rsidR="00D1786F" w:rsidRPr="0090752A" w:rsidRDefault="00E122F0" w:rsidP="00582EFE">
      <w:pPr>
        <w:pStyle w:val="Default"/>
        <w:spacing w:line="276" w:lineRule="auto"/>
        <w:ind w:right="-1"/>
        <w:jc w:val="both"/>
        <w:rPr>
          <w:rFonts w:cs="Times New Roman"/>
          <w:color w:val="auto"/>
          <w:sz w:val="23"/>
          <w:szCs w:val="23"/>
        </w:rPr>
      </w:pPr>
      <w:r w:rsidRPr="0090752A">
        <w:rPr>
          <w:rFonts w:cs="Times New Roman"/>
          <w:color w:val="auto"/>
          <w:sz w:val="23"/>
          <w:szCs w:val="23"/>
        </w:rPr>
        <w:t>La Relazione anno 2022</w:t>
      </w:r>
      <w:r w:rsidR="00D15F41" w:rsidRPr="0090752A">
        <w:rPr>
          <w:rFonts w:cs="Times New Roman"/>
          <w:color w:val="auto"/>
          <w:sz w:val="23"/>
          <w:szCs w:val="23"/>
        </w:rPr>
        <w:t xml:space="preserve"> del RPCT</w:t>
      </w:r>
      <w:r w:rsidR="00D3734B" w:rsidRPr="0090752A">
        <w:rPr>
          <w:rFonts w:cs="Times New Roman"/>
          <w:color w:val="auto"/>
          <w:sz w:val="23"/>
          <w:szCs w:val="23"/>
        </w:rPr>
        <w:t xml:space="preserve">, pubblicata in Amministrazione Trasparente ed alla cui lettura si rimanda, </w:t>
      </w:r>
      <w:r w:rsidR="00D15F41" w:rsidRPr="0090752A">
        <w:rPr>
          <w:rFonts w:cs="Times New Roman"/>
          <w:color w:val="auto"/>
          <w:sz w:val="23"/>
          <w:szCs w:val="23"/>
        </w:rPr>
        <w:t xml:space="preserve">evidenzia che </w:t>
      </w:r>
      <w:r w:rsidR="00EC566A" w:rsidRPr="0090752A">
        <w:rPr>
          <w:rFonts w:cs="Times New Roman"/>
          <w:color w:val="auto"/>
          <w:sz w:val="23"/>
          <w:szCs w:val="23"/>
        </w:rPr>
        <w:t xml:space="preserve">in </w:t>
      </w:r>
      <w:r w:rsidR="00D15F41" w:rsidRPr="0090752A">
        <w:rPr>
          <w:rFonts w:cs="Times New Roman"/>
          <w:color w:val="auto"/>
          <w:sz w:val="23"/>
          <w:szCs w:val="23"/>
        </w:rPr>
        <w:t xml:space="preserve">nessuna </w:t>
      </w:r>
      <w:r w:rsidR="00EC566A" w:rsidRPr="0090752A">
        <w:rPr>
          <w:rFonts w:cs="Times New Roman"/>
          <w:color w:val="auto"/>
          <w:sz w:val="23"/>
          <w:szCs w:val="23"/>
        </w:rPr>
        <w:t xml:space="preserve">area </w:t>
      </w:r>
      <w:r w:rsidR="00D3734B" w:rsidRPr="0090752A">
        <w:rPr>
          <w:rFonts w:cs="Times New Roman"/>
          <w:color w:val="auto"/>
          <w:sz w:val="23"/>
          <w:szCs w:val="23"/>
        </w:rPr>
        <w:t xml:space="preserve">di rischio </w:t>
      </w:r>
      <w:r w:rsidR="00EC566A" w:rsidRPr="0090752A">
        <w:rPr>
          <w:rFonts w:cs="Times New Roman"/>
          <w:color w:val="auto"/>
          <w:sz w:val="23"/>
          <w:szCs w:val="23"/>
        </w:rPr>
        <w:t xml:space="preserve">si sono verificati eventi corruttivi a rilevanza penale. </w:t>
      </w:r>
      <w:r w:rsidR="004D7181" w:rsidRPr="0090752A">
        <w:rPr>
          <w:rFonts w:cs="Times New Roman"/>
          <w:color w:val="auto"/>
          <w:sz w:val="23"/>
          <w:szCs w:val="23"/>
        </w:rPr>
        <w:t>Dalla stessa relazione</w:t>
      </w:r>
      <w:r w:rsidR="00D1786F" w:rsidRPr="0090752A">
        <w:rPr>
          <w:rFonts w:cs="Times New Roman"/>
          <w:color w:val="auto"/>
          <w:sz w:val="23"/>
          <w:szCs w:val="23"/>
        </w:rPr>
        <w:t xml:space="preserve">, </w:t>
      </w:r>
      <w:r w:rsidR="004D7181" w:rsidRPr="0090752A">
        <w:rPr>
          <w:rFonts w:cs="Times New Roman"/>
          <w:color w:val="auto"/>
          <w:sz w:val="23"/>
          <w:szCs w:val="23"/>
        </w:rPr>
        <w:t>sulla base delle informazioni fornite dal</w:t>
      </w:r>
      <w:r w:rsidR="00D1786F" w:rsidRPr="0090752A">
        <w:rPr>
          <w:rFonts w:cs="Times New Roman"/>
          <w:color w:val="auto"/>
          <w:sz w:val="23"/>
          <w:szCs w:val="23"/>
        </w:rPr>
        <w:t>la struttura regionale competente in materia di procedimenti disciplinari</w:t>
      </w:r>
      <w:r w:rsidR="004D7181" w:rsidRPr="0090752A">
        <w:rPr>
          <w:rFonts w:cs="Times New Roman"/>
          <w:color w:val="auto"/>
          <w:sz w:val="23"/>
          <w:szCs w:val="23"/>
        </w:rPr>
        <w:t xml:space="preserve"> </w:t>
      </w:r>
      <w:r w:rsidR="00D1786F" w:rsidRPr="0090752A">
        <w:rPr>
          <w:rFonts w:cs="Times New Roman"/>
          <w:color w:val="auto"/>
          <w:sz w:val="23"/>
          <w:szCs w:val="23"/>
        </w:rPr>
        <w:t>incardinata presso il Servizio Personale del Dipartimento Risorse</w:t>
      </w:r>
      <w:r w:rsidR="004D7181" w:rsidRPr="0090752A">
        <w:rPr>
          <w:rFonts w:cs="Times New Roman"/>
          <w:color w:val="auto"/>
          <w:sz w:val="23"/>
          <w:szCs w:val="23"/>
        </w:rPr>
        <w:t>,</w:t>
      </w:r>
      <w:r w:rsidR="00D1786F" w:rsidRPr="0090752A">
        <w:rPr>
          <w:rFonts w:cs="Times New Roman"/>
          <w:color w:val="auto"/>
          <w:sz w:val="23"/>
          <w:szCs w:val="23"/>
        </w:rPr>
        <w:t xml:space="preserve"> </w:t>
      </w:r>
      <w:r w:rsidR="004D7181" w:rsidRPr="0090752A">
        <w:rPr>
          <w:rFonts w:cs="Times New Roman"/>
          <w:color w:val="auto"/>
          <w:sz w:val="23"/>
          <w:szCs w:val="23"/>
        </w:rPr>
        <w:t>si evidenzia</w:t>
      </w:r>
      <w:r w:rsidR="00D1786F" w:rsidRPr="0090752A">
        <w:rPr>
          <w:rFonts w:cs="Times New Roman"/>
          <w:color w:val="auto"/>
          <w:sz w:val="23"/>
          <w:szCs w:val="23"/>
        </w:rPr>
        <w:t xml:space="preserve"> quanto segue:</w:t>
      </w:r>
    </w:p>
    <w:p w14:paraId="207DD4FF" w14:textId="77777777" w:rsidR="00D1786F" w:rsidRPr="0090752A" w:rsidRDefault="00D1786F" w:rsidP="003B6237">
      <w:pPr>
        <w:pStyle w:val="Default"/>
        <w:numPr>
          <w:ilvl w:val="0"/>
          <w:numId w:val="29"/>
        </w:numPr>
        <w:spacing w:line="276" w:lineRule="auto"/>
        <w:ind w:left="426" w:right="-1"/>
        <w:jc w:val="both"/>
        <w:rPr>
          <w:rFonts w:cs="Times New Roman"/>
          <w:color w:val="auto"/>
          <w:sz w:val="23"/>
          <w:szCs w:val="23"/>
        </w:rPr>
      </w:pPr>
      <w:r w:rsidRPr="0090752A">
        <w:rPr>
          <w:rFonts w:cs="Times New Roman"/>
          <w:color w:val="auto"/>
          <w:sz w:val="23"/>
          <w:szCs w:val="23"/>
        </w:rPr>
        <w:t>sono pervenute n. 10 segnalazioni per</w:t>
      </w:r>
      <w:r w:rsidR="00EC566A" w:rsidRPr="0090752A">
        <w:rPr>
          <w:rFonts w:cs="Times New Roman"/>
          <w:color w:val="auto"/>
          <w:sz w:val="23"/>
          <w:szCs w:val="23"/>
        </w:rPr>
        <w:t xml:space="preserve"> violazi</w:t>
      </w:r>
      <w:r w:rsidRPr="0090752A">
        <w:rPr>
          <w:rFonts w:cs="Times New Roman"/>
          <w:color w:val="auto"/>
          <w:sz w:val="23"/>
          <w:szCs w:val="23"/>
        </w:rPr>
        <w:t>one del Codice di Comportamento;</w:t>
      </w:r>
    </w:p>
    <w:p w14:paraId="593D7261" w14:textId="77777777" w:rsidR="00D1786F" w:rsidRPr="0090752A" w:rsidRDefault="00DD5C2A" w:rsidP="003B6237">
      <w:pPr>
        <w:pStyle w:val="Default"/>
        <w:numPr>
          <w:ilvl w:val="0"/>
          <w:numId w:val="29"/>
        </w:numPr>
        <w:spacing w:line="276" w:lineRule="auto"/>
        <w:ind w:left="426" w:right="-1"/>
        <w:jc w:val="both"/>
        <w:rPr>
          <w:rFonts w:cs="Times New Roman"/>
          <w:color w:val="auto"/>
          <w:sz w:val="23"/>
          <w:szCs w:val="23"/>
        </w:rPr>
      </w:pPr>
      <w:r w:rsidRPr="0090752A">
        <w:rPr>
          <w:rFonts w:cs="Times New Roman"/>
          <w:color w:val="auto"/>
          <w:sz w:val="23"/>
          <w:szCs w:val="23"/>
        </w:rPr>
        <w:t xml:space="preserve">sono stati avviati n. 8 procedimenti disciplinari </w:t>
      </w:r>
      <w:r w:rsidR="00D1786F" w:rsidRPr="0090752A">
        <w:rPr>
          <w:rFonts w:cs="Times New Roman"/>
          <w:color w:val="auto"/>
          <w:sz w:val="23"/>
          <w:szCs w:val="23"/>
        </w:rPr>
        <w:t xml:space="preserve">per violazione del Codice di Comportamento </w:t>
      </w:r>
      <w:r w:rsidRPr="0090752A">
        <w:rPr>
          <w:rFonts w:cs="Times New Roman"/>
          <w:color w:val="auto"/>
          <w:sz w:val="23"/>
          <w:szCs w:val="23"/>
        </w:rPr>
        <w:t>relativi a fattispecie non penalmente rilevanti</w:t>
      </w:r>
      <w:r w:rsidR="00D1786F" w:rsidRPr="0090752A">
        <w:rPr>
          <w:rFonts w:cs="Times New Roman"/>
          <w:color w:val="auto"/>
          <w:sz w:val="23"/>
          <w:szCs w:val="23"/>
        </w:rPr>
        <w:t>;</w:t>
      </w:r>
    </w:p>
    <w:p w14:paraId="7DA19DC6" w14:textId="42FCE495" w:rsidR="00D1786F" w:rsidRPr="0090752A" w:rsidRDefault="00D3734B" w:rsidP="003B6237">
      <w:pPr>
        <w:pStyle w:val="Default"/>
        <w:numPr>
          <w:ilvl w:val="0"/>
          <w:numId w:val="29"/>
        </w:numPr>
        <w:spacing w:line="276" w:lineRule="auto"/>
        <w:ind w:left="426" w:right="-1"/>
        <w:jc w:val="both"/>
        <w:rPr>
          <w:rFonts w:cs="Times New Roman"/>
          <w:color w:val="auto"/>
          <w:sz w:val="23"/>
          <w:szCs w:val="23"/>
        </w:rPr>
      </w:pPr>
      <w:r w:rsidRPr="0090752A">
        <w:rPr>
          <w:rFonts w:cs="Times New Roman"/>
          <w:color w:val="auto"/>
          <w:sz w:val="23"/>
          <w:szCs w:val="23"/>
        </w:rPr>
        <w:t xml:space="preserve">non </w:t>
      </w:r>
      <w:r w:rsidR="00D1786F" w:rsidRPr="0090752A">
        <w:rPr>
          <w:rFonts w:cs="Times New Roman"/>
          <w:color w:val="auto"/>
          <w:sz w:val="23"/>
          <w:szCs w:val="23"/>
        </w:rPr>
        <w:t xml:space="preserve">sono </w:t>
      </w:r>
      <w:r w:rsidRPr="0090752A">
        <w:rPr>
          <w:rFonts w:cs="Times New Roman"/>
          <w:color w:val="auto"/>
          <w:sz w:val="23"/>
          <w:szCs w:val="23"/>
        </w:rPr>
        <w:t xml:space="preserve">stati avviati procedimenti disciplinari per eventi corruttivi </w:t>
      </w:r>
      <w:r w:rsidR="00D1786F" w:rsidRPr="0090752A">
        <w:rPr>
          <w:rFonts w:cs="Times New Roman"/>
          <w:color w:val="auto"/>
          <w:sz w:val="23"/>
          <w:szCs w:val="23"/>
        </w:rPr>
        <w:t>a carico dei dipendenti (</w:t>
      </w:r>
      <w:r w:rsidRPr="0090752A">
        <w:rPr>
          <w:rFonts w:cs="Times New Roman"/>
          <w:color w:val="auto"/>
          <w:sz w:val="23"/>
          <w:szCs w:val="23"/>
        </w:rPr>
        <w:t>penalmente rilevanti</w:t>
      </w:r>
      <w:r w:rsidR="00D1786F" w:rsidRPr="0090752A">
        <w:rPr>
          <w:rFonts w:cs="Times New Roman"/>
          <w:color w:val="auto"/>
          <w:sz w:val="23"/>
          <w:szCs w:val="23"/>
        </w:rPr>
        <w:t xml:space="preserve"> e non);</w:t>
      </w:r>
    </w:p>
    <w:p w14:paraId="759B783B" w14:textId="0B8A3E64" w:rsidR="00D3734B" w:rsidRPr="0090752A" w:rsidRDefault="00D1786F" w:rsidP="003B6237">
      <w:pPr>
        <w:pStyle w:val="Default"/>
        <w:numPr>
          <w:ilvl w:val="0"/>
          <w:numId w:val="29"/>
        </w:numPr>
        <w:spacing w:line="276" w:lineRule="auto"/>
        <w:ind w:left="426" w:right="-1"/>
        <w:jc w:val="both"/>
        <w:rPr>
          <w:rFonts w:cs="Times New Roman"/>
          <w:color w:val="auto"/>
          <w:sz w:val="23"/>
          <w:szCs w:val="23"/>
        </w:rPr>
      </w:pPr>
      <w:r w:rsidRPr="0090752A">
        <w:rPr>
          <w:rFonts w:cs="Times New Roman"/>
          <w:color w:val="auto"/>
          <w:sz w:val="23"/>
          <w:szCs w:val="23"/>
        </w:rPr>
        <w:t>è pervenuta n. 1 segnalazione sullo svolgimento di incarichi extra-istituzionali non autorizzati</w:t>
      </w:r>
      <w:r w:rsidR="004D7181" w:rsidRPr="0090752A">
        <w:rPr>
          <w:rFonts w:cs="Times New Roman"/>
          <w:color w:val="auto"/>
          <w:sz w:val="23"/>
          <w:szCs w:val="23"/>
        </w:rPr>
        <w:t>;</w:t>
      </w:r>
    </w:p>
    <w:p w14:paraId="51884816" w14:textId="6C6CE51F" w:rsidR="004D7181" w:rsidRPr="0090752A" w:rsidRDefault="004D7181" w:rsidP="003B6237">
      <w:pPr>
        <w:pStyle w:val="Default"/>
        <w:numPr>
          <w:ilvl w:val="0"/>
          <w:numId w:val="29"/>
        </w:numPr>
        <w:spacing w:line="276" w:lineRule="auto"/>
        <w:ind w:left="283" w:hanging="357"/>
        <w:jc w:val="both"/>
        <w:rPr>
          <w:rFonts w:cs="Times New Roman"/>
          <w:color w:val="auto"/>
          <w:sz w:val="23"/>
          <w:szCs w:val="23"/>
        </w:rPr>
      </w:pPr>
      <w:r w:rsidRPr="0090752A">
        <w:rPr>
          <w:rFonts w:cs="Times New Roman"/>
          <w:color w:val="auto"/>
          <w:sz w:val="23"/>
          <w:szCs w:val="23"/>
        </w:rPr>
        <w:t>non si sono verificate violazioni dei divieti contenuti nell’art. 35 bis del d.lgs. n. 165/2001 per i soggetti condannati, anche con sentenza non passata in giudicato, per i reati di cui al C</w:t>
      </w:r>
      <w:r w:rsidR="005A7E41">
        <w:rPr>
          <w:rFonts w:cs="Times New Roman"/>
          <w:color w:val="auto"/>
          <w:sz w:val="23"/>
          <w:szCs w:val="23"/>
        </w:rPr>
        <w:t>apo I, Titolo II, Libro II, c.p</w:t>
      </w:r>
      <w:r w:rsidRPr="0090752A">
        <w:rPr>
          <w:rFonts w:cs="Times New Roman"/>
          <w:color w:val="auto"/>
          <w:sz w:val="23"/>
          <w:szCs w:val="23"/>
        </w:rPr>
        <w:t>.</w:t>
      </w:r>
    </w:p>
    <w:p w14:paraId="63B2F703" w14:textId="46015792" w:rsidR="00B047E4" w:rsidRDefault="00B047E4" w:rsidP="00582EFE">
      <w:pPr>
        <w:pStyle w:val="Default"/>
        <w:spacing w:line="276" w:lineRule="auto"/>
        <w:ind w:right="-1"/>
        <w:jc w:val="both"/>
        <w:rPr>
          <w:rFonts w:cs="Times New Roman"/>
          <w:sz w:val="23"/>
          <w:szCs w:val="23"/>
        </w:rPr>
      </w:pPr>
      <w:bookmarkStart w:id="17" w:name="_Toc43329170"/>
      <w:r>
        <w:rPr>
          <w:rFonts w:cs="Times New Roman"/>
          <w:sz w:val="23"/>
          <w:szCs w:val="23"/>
        </w:rPr>
        <w:t xml:space="preserve">Per la progettazione </w:t>
      </w:r>
      <w:r w:rsidRPr="00B047E4">
        <w:rPr>
          <w:rFonts w:cs="Times New Roman"/>
          <w:sz w:val="23"/>
          <w:szCs w:val="23"/>
        </w:rPr>
        <w:t>della strategia di prevenzione del rischio</w:t>
      </w:r>
      <w:r>
        <w:rPr>
          <w:rFonts w:cs="Times New Roman"/>
          <w:sz w:val="23"/>
          <w:szCs w:val="23"/>
        </w:rPr>
        <w:t xml:space="preserve"> ed il monitoraggio dell’attuazione il RPCT interagisce con organi e uffici della Giunta Regionale </w:t>
      </w:r>
      <w:r w:rsidR="00A84A82">
        <w:rPr>
          <w:rFonts w:cs="Times New Roman"/>
          <w:sz w:val="23"/>
          <w:szCs w:val="23"/>
        </w:rPr>
        <w:t>(Organi di Indirizzo Politico, Organismo Indipendente di Valutazione – OIV, Dipartimenti/Servizi e loro Referenti nella materia, Ufficio Procedimenti Disciplinari – UPD, ecc.)</w:t>
      </w:r>
      <w:r>
        <w:rPr>
          <w:rFonts w:cs="Times New Roman"/>
          <w:sz w:val="23"/>
          <w:szCs w:val="23"/>
        </w:rPr>
        <w:t xml:space="preserve">, oltre che con l’Autorità Nazionale Anticorruzione </w:t>
      </w:r>
      <w:r w:rsidR="00A84A82">
        <w:rPr>
          <w:rFonts w:cs="Times New Roman"/>
          <w:sz w:val="23"/>
          <w:szCs w:val="23"/>
        </w:rPr>
        <w:t>– ANAC (</w:t>
      </w:r>
      <w:r>
        <w:rPr>
          <w:rFonts w:cs="Times New Roman"/>
          <w:sz w:val="23"/>
          <w:szCs w:val="23"/>
        </w:rPr>
        <w:t>alla quale si rapporta anche mediante l’invio di apposite Relazioni annuali</w:t>
      </w:r>
      <w:r w:rsidR="00A84A82">
        <w:rPr>
          <w:rFonts w:cs="Times New Roman"/>
          <w:sz w:val="23"/>
          <w:szCs w:val="23"/>
        </w:rPr>
        <w:t>)</w:t>
      </w:r>
      <w:r w:rsidR="00F5746A">
        <w:rPr>
          <w:rFonts w:cs="Times New Roman"/>
          <w:sz w:val="23"/>
          <w:szCs w:val="23"/>
        </w:rPr>
        <w:t>,</w:t>
      </w:r>
      <w:r w:rsidR="00A84A82">
        <w:rPr>
          <w:rFonts w:cs="Times New Roman"/>
          <w:sz w:val="23"/>
          <w:szCs w:val="23"/>
        </w:rPr>
        <w:t xml:space="preserve"> con Amministrazioni centrali e</w:t>
      </w:r>
      <w:r w:rsidR="00F5746A">
        <w:rPr>
          <w:rFonts w:cs="Times New Roman"/>
          <w:sz w:val="23"/>
          <w:szCs w:val="23"/>
        </w:rPr>
        <w:t xml:space="preserve"> </w:t>
      </w:r>
      <w:r w:rsidR="00A84A82">
        <w:rPr>
          <w:rFonts w:cs="Times New Roman"/>
          <w:sz w:val="23"/>
          <w:szCs w:val="23"/>
        </w:rPr>
        <w:t>altre Autorità</w:t>
      </w:r>
      <w:r>
        <w:rPr>
          <w:rFonts w:cs="Times New Roman"/>
          <w:sz w:val="23"/>
          <w:szCs w:val="23"/>
        </w:rPr>
        <w:t>.</w:t>
      </w:r>
    </w:p>
    <w:p w14:paraId="3C896218" w14:textId="1FB7209F" w:rsidR="00AB7ABD" w:rsidRPr="003B6237" w:rsidRDefault="00AB7ABD" w:rsidP="00582EFE">
      <w:pPr>
        <w:pStyle w:val="Default"/>
        <w:spacing w:line="276" w:lineRule="auto"/>
        <w:ind w:right="-1"/>
        <w:jc w:val="both"/>
        <w:rPr>
          <w:rFonts w:cs="Times New Roman"/>
          <w:color w:val="auto"/>
          <w:sz w:val="23"/>
          <w:szCs w:val="23"/>
        </w:rPr>
      </w:pPr>
      <w:r>
        <w:rPr>
          <w:rFonts w:cs="Times New Roman"/>
          <w:sz w:val="23"/>
          <w:szCs w:val="23"/>
        </w:rPr>
        <w:t xml:space="preserve">Attualmente le funzioni di </w:t>
      </w:r>
      <w:r w:rsidRPr="00AB7ABD">
        <w:rPr>
          <w:rFonts w:cs="Times New Roman"/>
          <w:sz w:val="23"/>
          <w:szCs w:val="23"/>
        </w:rPr>
        <w:t xml:space="preserve">Responsabile della Prevenzione della Corruzione e della Trasparenza (RPCT) della Giunta Regionale </w:t>
      </w:r>
      <w:r>
        <w:rPr>
          <w:rFonts w:cs="Times New Roman"/>
          <w:sz w:val="23"/>
          <w:szCs w:val="23"/>
        </w:rPr>
        <w:t>sono svolte dal</w:t>
      </w:r>
      <w:r w:rsidRPr="00AB7ABD">
        <w:rPr>
          <w:rFonts w:cs="Times New Roman"/>
          <w:sz w:val="23"/>
          <w:szCs w:val="23"/>
        </w:rPr>
        <w:t xml:space="preserve">la </w:t>
      </w:r>
      <w:r w:rsidRPr="003B6237">
        <w:rPr>
          <w:rFonts w:cs="Times New Roman"/>
          <w:color w:val="auto"/>
          <w:sz w:val="23"/>
          <w:szCs w:val="23"/>
        </w:rPr>
        <w:t xml:space="preserve">Dott.ssa </w:t>
      </w:r>
      <w:r w:rsidR="0075554B" w:rsidRPr="003B6237">
        <w:rPr>
          <w:rFonts w:cs="Times New Roman"/>
          <w:color w:val="auto"/>
          <w:sz w:val="23"/>
          <w:szCs w:val="23"/>
        </w:rPr>
        <w:t>Barbara Mascioletti</w:t>
      </w:r>
      <w:r w:rsidRPr="003B6237">
        <w:rPr>
          <w:rFonts w:cs="Times New Roman"/>
          <w:color w:val="auto"/>
          <w:sz w:val="23"/>
          <w:szCs w:val="23"/>
        </w:rPr>
        <w:t>, Dirigente del Servizio Autonomo “Controlli e Anticorruzione”,</w:t>
      </w:r>
      <w:r w:rsidR="0075554B" w:rsidRPr="003B6237">
        <w:rPr>
          <w:rFonts w:cs="Times New Roman"/>
          <w:color w:val="auto"/>
          <w:sz w:val="23"/>
          <w:szCs w:val="23"/>
        </w:rPr>
        <w:t xml:space="preserve"> incaricata ad interim </w:t>
      </w:r>
      <w:r w:rsidRPr="003B6237">
        <w:rPr>
          <w:rFonts w:cs="Times New Roman"/>
          <w:color w:val="auto"/>
          <w:sz w:val="23"/>
          <w:szCs w:val="23"/>
        </w:rPr>
        <w:t xml:space="preserve">con D.G.R. n. </w:t>
      </w:r>
      <w:r w:rsidR="00636CE2" w:rsidRPr="003B6237">
        <w:rPr>
          <w:rFonts w:cs="Times New Roman"/>
          <w:color w:val="auto"/>
          <w:sz w:val="23"/>
          <w:szCs w:val="23"/>
        </w:rPr>
        <w:t>761</w:t>
      </w:r>
      <w:r w:rsidRPr="003B6237">
        <w:rPr>
          <w:rFonts w:cs="Times New Roman"/>
          <w:color w:val="auto"/>
          <w:sz w:val="23"/>
          <w:szCs w:val="23"/>
        </w:rPr>
        <w:t xml:space="preserve"> del </w:t>
      </w:r>
      <w:r w:rsidR="00636CE2" w:rsidRPr="003B6237">
        <w:rPr>
          <w:rFonts w:cs="Times New Roman"/>
          <w:color w:val="auto"/>
          <w:sz w:val="23"/>
          <w:szCs w:val="23"/>
        </w:rPr>
        <w:t>12</w:t>
      </w:r>
      <w:r w:rsidRPr="003B6237">
        <w:rPr>
          <w:rFonts w:cs="Times New Roman"/>
          <w:color w:val="auto"/>
          <w:sz w:val="23"/>
          <w:szCs w:val="23"/>
        </w:rPr>
        <w:t>/12/202</w:t>
      </w:r>
      <w:r w:rsidR="00636CE2" w:rsidRPr="003B6237">
        <w:rPr>
          <w:rFonts w:cs="Times New Roman"/>
          <w:color w:val="auto"/>
          <w:sz w:val="23"/>
          <w:szCs w:val="23"/>
        </w:rPr>
        <w:t>2</w:t>
      </w:r>
      <w:r w:rsidR="00363F56" w:rsidRPr="003B6237">
        <w:rPr>
          <w:rFonts w:cs="Times New Roman"/>
          <w:color w:val="auto"/>
          <w:sz w:val="23"/>
          <w:szCs w:val="23"/>
        </w:rPr>
        <w:t xml:space="preserve">, come integrata con D.G.R. n. </w:t>
      </w:r>
      <w:r w:rsidR="003B6237" w:rsidRPr="003B6237">
        <w:rPr>
          <w:rFonts w:cs="Times New Roman"/>
          <w:color w:val="auto"/>
          <w:sz w:val="23"/>
          <w:szCs w:val="23"/>
        </w:rPr>
        <w:t>909 del 29.12.2022</w:t>
      </w:r>
      <w:r w:rsidRPr="003B6237">
        <w:rPr>
          <w:rFonts w:cs="Times New Roman"/>
          <w:color w:val="auto"/>
          <w:sz w:val="23"/>
          <w:szCs w:val="23"/>
        </w:rPr>
        <w:t>.</w:t>
      </w:r>
    </w:p>
    <w:bookmarkEnd w:id="17"/>
    <w:p w14:paraId="275C022A" w14:textId="77777777" w:rsidR="005D7B9F" w:rsidRPr="00D86DC5" w:rsidRDefault="005D7B9F" w:rsidP="00582EFE">
      <w:pPr>
        <w:pStyle w:val="Default"/>
        <w:spacing w:line="276" w:lineRule="auto"/>
        <w:ind w:right="-1"/>
        <w:jc w:val="both"/>
        <w:rPr>
          <w:rFonts w:cs="Times New Roman"/>
          <w:color w:val="auto"/>
          <w:sz w:val="23"/>
          <w:szCs w:val="23"/>
        </w:rPr>
      </w:pPr>
    </w:p>
    <w:p w14:paraId="0817574C" w14:textId="1F3DEB0F" w:rsidR="007A57AE" w:rsidRPr="006254AC" w:rsidRDefault="006250A9" w:rsidP="00582EFE">
      <w:pPr>
        <w:spacing w:after="0" w:line="276" w:lineRule="auto"/>
        <w:ind w:right="-1"/>
        <w:jc w:val="both"/>
        <w:outlineLvl w:val="1"/>
        <w:rPr>
          <w:rFonts w:ascii="Garamond" w:eastAsia="Calibri" w:hAnsi="Garamond" w:cs="Times New Roman"/>
          <w:b/>
          <w:sz w:val="23"/>
          <w:szCs w:val="23"/>
        </w:rPr>
      </w:pPr>
      <w:bookmarkStart w:id="18" w:name="_Toc43329178"/>
      <w:bookmarkStart w:id="19" w:name="_Toc102136704"/>
      <w:bookmarkStart w:id="20" w:name="_Hlk101636426"/>
      <w:r>
        <w:rPr>
          <w:rFonts w:ascii="Garamond" w:eastAsia="Calibri" w:hAnsi="Garamond" w:cs="Times New Roman"/>
          <w:b/>
          <w:sz w:val="23"/>
          <w:szCs w:val="23"/>
        </w:rPr>
        <w:t xml:space="preserve">2.4.4 </w:t>
      </w:r>
      <w:r w:rsidR="00FE2D7B" w:rsidRPr="006254AC">
        <w:rPr>
          <w:rFonts w:ascii="Garamond" w:eastAsia="Calibri" w:hAnsi="Garamond" w:cs="Times New Roman"/>
          <w:b/>
          <w:sz w:val="23"/>
          <w:szCs w:val="23"/>
        </w:rPr>
        <w:t>MAPPATURA DEI PROCESSI</w:t>
      </w:r>
      <w:bookmarkEnd w:id="18"/>
      <w:bookmarkEnd w:id="19"/>
    </w:p>
    <w:p w14:paraId="7B3448AA" w14:textId="343A12D1" w:rsidR="00386C91" w:rsidRDefault="00386C91" w:rsidP="00582EFE">
      <w:pPr>
        <w:pStyle w:val="Default"/>
        <w:spacing w:line="276" w:lineRule="auto"/>
        <w:ind w:right="-1"/>
        <w:jc w:val="both"/>
        <w:rPr>
          <w:rFonts w:cs="Times New Roman"/>
          <w:sz w:val="23"/>
          <w:szCs w:val="23"/>
        </w:rPr>
      </w:pPr>
      <w:bookmarkStart w:id="21" w:name="_Toc43329179"/>
      <w:bookmarkEnd w:id="20"/>
    </w:p>
    <w:p w14:paraId="14E407DE" w14:textId="7B5E2FAD" w:rsidR="00FB7FB2" w:rsidRDefault="00A60C35" w:rsidP="00A60C35">
      <w:pPr>
        <w:pStyle w:val="Default"/>
        <w:spacing w:line="276" w:lineRule="auto"/>
        <w:ind w:right="-1"/>
        <w:jc w:val="both"/>
        <w:rPr>
          <w:rFonts w:cs="Times New Roman"/>
          <w:color w:val="auto"/>
          <w:sz w:val="23"/>
          <w:szCs w:val="23"/>
        </w:rPr>
      </w:pPr>
      <w:r w:rsidRPr="003B6237">
        <w:rPr>
          <w:rFonts w:cs="Times New Roman"/>
          <w:color w:val="auto"/>
          <w:sz w:val="23"/>
          <w:szCs w:val="23"/>
        </w:rPr>
        <w:t>Come evidenziato dall’ANAC (cfr. PNA 2022 - approvato dal Consiglio dell'ANAC il 16 novembre 2022), una buona programmazione delle misure di prevenzione della corruzione all’interno del PIAO richiede che si lavori per una mappatura dei processi integrata al fine di far confluire obiettivi di performance, misure di prevenzione della corruzione e programmazione delle risorse umane e finanziarie necessarie per la loro realizzazione. Pertanto, anche se la finalità della mappatura varia da sezione a sezione del PIAO in base alle specificità dei contenuti delle stesse, si rappresenta l’opportunità</w:t>
      </w:r>
      <w:r w:rsidR="005A177B" w:rsidRPr="003B6237">
        <w:rPr>
          <w:rFonts w:cs="Times New Roman"/>
          <w:color w:val="auto"/>
          <w:sz w:val="23"/>
          <w:szCs w:val="23"/>
        </w:rPr>
        <w:t xml:space="preserve"> che essa sia unica, </w:t>
      </w:r>
      <w:r w:rsidR="00FB7FB2">
        <w:rPr>
          <w:rFonts w:cs="Times New Roman"/>
          <w:color w:val="auto"/>
          <w:sz w:val="23"/>
          <w:szCs w:val="23"/>
        </w:rPr>
        <w:t xml:space="preserve">anche </w:t>
      </w:r>
      <w:r w:rsidR="003226AD" w:rsidRPr="003B6237">
        <w:rPr>
          <w:rFonts w:cs="Times New Roman"/>
          <w:color w:val="auto"/>
          <w:sz w:val="23"/>
          <w:szCs w:val="23"/>
        </w:rPr>
        <w:t xml:space="preserve">al fine di integrare obiettivi e indicatori di </w:t>
      </w:r>
      <w:r w:rsidR="003226AD" w:rsidRPr="003B6237">
        <w:rPr>
          <w:rFonts w:cs="Times New Roman"/>
          <w:i/>
          <w:color w:val="auto"/>
          <w:sz w:val="23"/>
          <w:szCs w:val="23"/>
        </w:rPr>
        <w:t>performance</w:t>
      </w:r>
      <w:r w:rsidR="003226AD" w:rsidRPr="003B6237">
        <w:rPr>
          <w:rFonts w:cs="Times New Roman"/>
          <w:color w:val="auto"/>
          <w:sz w:val="23"/>
          <w:szCs w:val="23"/>
        </w:rPr>
        <w:t xml:space="preserve"> con le misure d</w:t>
      </w:r>
      <w:r w:rsidR="00FB7FB2">
        <w:rPr>
          <w:rFonts w:cs="Times New Roman"/>
          <w:color w:val="auto"/>
          <w:sz w:val="23"/>
          <w:szCs w:val="23"/>
        </w:rPr>
        <w:t>i prevenzione della corruzione.</w:t>
      </w:r>
    </w:p>
    <w:p w14:paraId="432F45FE" w14:textId="1A0E9889" w:rsidR="00C156FE" w:rsidRPr="00E26AC4" w:rsidRDefault="00722E38" w:rsidP="00E26AC4">
      <w:pPr>
        <w:pStyle w:val="Default"/>
        <w:spacing w:line="276" w:lineRule="auto"/>
        <w:ind w:right="-1"/>
        <w:jc w:val="both"/>
        <w:rPr>
          <w:rFonts w:eastAsia="Calibri" w:cs="Times New Roman"/>
          <w:color w:val="00B050"/>
          <w:sz w:val="23"/>
          <w:szCs w:val="23"/>
        </w:rPr>
      </w:pPr>
      <w:r w:rsidRPr="0037078F">
        <w:rPr>
          <w:rFonts w:cs="Times New Roman"/>
          <w:sz w:val="23"/>
          <w:szCs w:val="23"/>
        </w:rPr>
        <w:t xml:space="preserve">La mappatura dei processi </w:t>
      </w:r>
      <w:r w:rsidR="0094295D">
        <w:rPr>
          <w:rFonts w:cs="Times New Roman"/>
          <w:sz w:val="23"/>
          <w:szCs w:val="23"/>
        </w:rPr>
        <w:t>esposta ne</w:t>
      </w:r>
      <w:r w:rsidR="0094295D" w:rsidRPr="009317CA">
        <w:rPr>
          <w:rFonts w:cs="Times New Roman"/>
          <w:iCs/>
          <w:sz w:val="23"/>
          <w:szCs w:val="23"/>
        </w:rPr>
        <w:t>ll’</w:t>
      </w:r>
      <w:r w:rsidR="0094295D" w:rsidRPr="009317CA">
        <w:rPr>
          <w:rFonts w:cs="Times New Roman"/>
          <w:bCs/>
          <w:i/>
          <w:sz w:val="23"/>
          <w:szCs w:val="23"/>
        </w:rPr>
        <w:t>Allegato A</w:t>
      </w:r>
      <w:r w:rsidR="0094295D">
        <w:rPr>
          <w:rFonts w:cs="Times New Roman"/>
          <w:sz w:val="23"/>
          <w:szCs w:val="23"/>
        </w:rPr>
        <w:t xml:space="preserve"> della </w:t>
      </w:r>
      <w:r w:rsidRPr="0037078F">
        <w:rPr>
          <w:rFonts w:cs="Times New Roman"/>
          <w:sz w:val="23"/>
          <w:szCs w:val="23"/>
        </w:rPr>
        <w:t>pres</w:t>
      </w:r>
      <w:r w:rsidR="0094295D">
        <w:rPr>
          <w:rFonts w:cs="Times New Roman"/>
          <w:sz w:val="23"/>
          <w:szCs w:val="23"/>
        </w:rPr>
        <w:t xml:space="preserve">ente </w:t>
      </w:r>
      <w:r w:rsidR="00123D83" w:rsidRPr="00D25024">
        <w:rPr>
          <w:rFonts w:cs="Times New Roman"/>
          <w:color w:val="auto"/>
          <w:sz w:val="23"/>
          <w:szCs w:val="23"/>
        </w:rPr>
        <w:t>Sottos</w:t>
      </w:r>
      <w:r w:rsidR="0094295D" w:rsidRPr="00D25024">
        <w:rPr>
          <w:rFonts w:cs="Times New Roman"/>
          <w:color w:val="auto"/>
          <w:sz w:val="23"/>
          <w:szCs w:val="23"/>
        </w:rPr>
        <w:t>ezione</w:t>
      </w:r>
      <w:r w:rsidR="00825BE8">
        <w:rPr>
          <w:rFonts w:cs="Times New Roman"/>
          <w:sz w:val="23"/>
          <w:szCs w:val="23"/>
        </w:rPr>
        <w:t>, alla cui lettura si rimanda,</w:t>
      </w:r>
      <w:r w:rsidR="0094295D">
        <w:rPr>
          <w:rFonts w:cs="Times New Roman"/>
          <w:sz w:val="23"/>
          <w:szCs w:val="23"/>
        </w:rPr>
        <w:t xml:space="preserve"> è articolata per Aree di rischio </w:t>
      </w:r>
      <w:bookmarkStart w:id="22" w:name="_Toc43329214"/>
      <w:r w:rsidR="00C156FE" w:rsidRPr="00405FED">
        <w:rPr>
          <w:rFonts w:eastAsia="Calibri" w:cs="Times New Roman"/>
          <w:color w:val="auto"/>
          <w:sz w:val="23"/>
          <w:szCs w:val="23"/>
        </w:rPr>
        <w:t>ed è stata aggiornata a seguito delle rimodulazioni e/o revisioni parziali dell'assetto organizzativo di talune strutture regionali nell’ambito delle attività di monitoraggio degli adempimenti previsti dal PTPCT/PIAO 2022/2024 (aggiornamento al 15/11/2022). Si è inoltre proceduto alla correzione di alcuni errori materiali nell’attribuzione dei processi alle strutture competenti, come risultato a seguito di puntuale ricognizione dei processi mappati svolti dai Dipartimenti/Servizi autonomi e da ciascuna dipendente articolazione organizzativa anche al fine di dare impulso alla misura della rotazione ordinaria</w:t>
      </w:r>
      <w:r w:rsidR="002F0277" w:rsidRPr="00405FED">
        <w:rPr>
          <w:rFonts w:eastAsia="Calibri" w:cs="Times New Roman"/>
          <w:color w:val="auto"/>
          <w:sz w:val="23"/>
          <w:szCs w:val="23"/>
        </w:rPr>
        <w:t xml:space="preserve"> (note RPCT </w:t>
      </w:r>
      <w:proofErr w:type="spellStart"/>
      <w:r w:rsidR="002F0277" w:rsidRPr="00405FED">
        <w:rPr>
          <w:rFonts w:eastAsia="Calibri" w:cs="Times New Roman"/>
          <w:color w:val="auto"/>
          <w:sz w:val="23"/>
          <w:szCs w:val="23"/>
        </w:rPr>
        <w:t>prot</w:t>
      </w:r>
      <w:proofErr w:type="spellEnd"/>
      <w:r w:rsidR="002F0277" w:rsidRPr="00405FED">
        <w:rPr>
          <w:rFonts w:eastAsia="Calibri" w:cs="Times New Roman"/>
          <w:color w:val="auto"/>
          <w:sz w:val="23"/>
          <w:szCs w:val="23"/>
        </w:rPr>
        <w:t xml:space="preserve">. n. 0203818/22 del 24.05.2022 e </w:t>
      </w:r>
      <w:proofErr w:type="spellStart"/>
      <w:r w:rsidR="002F0277" w:rsidRPr="00405FED">
        <w:rPr>
          <w:rFonts w:eastAsia="Calibri" w:cs="Times New Roman"/>
          <w:color w:val="auto"/>
          <w:sz w:val="23"/>
          <w:szCs w:val="23"/>
        </w:rPr>
        <w:t>prot</w:t>
      </w:r>
      <w:proofErr w:type="spellEnd"/>
      <w:r w:rsidR="002F0277" w:rsidRPr="00405FED">
        <w:rPr>
          <w:rFonts w:eastAsia="Calibri" w:cs="Times New Roman"/>
          <w:color w:val="auto"/>
          <w:sz w:val="23"/>
          <w:szCs w:val="23"/>
        </w:rPr>
        <w:t>. n. 0206787/22 del 26.05.2022).</w:t>
      </w:r>
      <w:r w:rsidR="00E26AC4">
        <w:rPr>
          <w:rFonts w:eastAsia="Calibri" w:cs="Times New Roman"/>
          <w:color w:val="auto"/>
          <w:sz w:val="23"/>
          <w:szCs w:val="23"/>
        </w:rPr>
        <w:t xml:space="preserve"> </w:t>
      </w:r>
    </w:p>
    <w:p w14:paraId="7269ED8E" w14:textId="3F576834" w:rsidR="00A82F15" w:rsidRPr="00A82F15" w:rsidRDefault="00A82F15" w:rsidP="00582EFE">
      <w:pPr>
        <w:autoSpaceDE w:val="0"/>
        <w:autoSpaceDN w:val="0"/>
        <w:adjustRightInd w:val="0"/>
        <w:spacing w:after="0" w:line="276" w:lineRule="auto"/>
        <w:ind w:right="-1"/>
        <w:jc w:val="both"/>
        <w:rPr>
          <w:rFonts w:ascii="Garamond" w:eastAsia="Calibri" w:hAnsi="Garamond" w:cs="Times New Roman"/>
          <w:sz w:val="23"/>
          <w:szCs w:val="23"/>
        </w:rPr>
      </w:pPr>
      <w:r w:rsidRPr="00A82F15">
        <w:rPr>
          <w:rFonts w:ascii="Garamond" w:eastAsia="Calibri" w:hAnsi="Garamond" w:cs="Times New Roman"/>
          <w:sz w:val="23"/>
          <w:szCs w:val="23"/>
        </w:rPr>
        <w:t>I processi mappati sono riferiti alle seguenti Aree di Rischio:</w:t>
      </w:r>
    </w:p>
    <w:p w14:paraId="64CB5B3E" w14:textId="16C13D94" w:rsidR="00A82F15" w:rsidRPr="00A82F15" w:rsidRDefault="00A82F15" w:rsidP="00724C70">
      <w:pPr>
        <w:pStyle w:val="Paragrafoelenco"/>
        <w:numPr>
          <w:ilvl w:val="0"/>
          <w:numId w:val="2"/>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A82F15">
        <w:rPr>
          <w:rFonts w:ascii="Garamond" w:eastAsia="Calibri" w:hAnsi="Garamond" w:cs="Times New Roman"/>
          <w:sz w:val="23"/>
          <w:szCs w:val="23"/>
        </w:rPr>
        <w:t>Area di ris</w:t>
      </w:r>
      <w:r w:rsidR="00D25024">
        <w:rPr>
          <w:rFonts w:ascii="Garamond" w:eastAsia="Calibri" w:hAnsi="Garamond" w:cs="Times New Roman"/>
          <w:sz w:val="23"/>
          <w:szCs w:val="23"/>
        </w:rPr>
        <w:t>chio n. 1 “Contratti pubblici”;</w:t>
      </w:r>
    </w:p>
    <w:p w14:paraId="687840B3" w14:textId="7A44030C" w:rsidR="00A82F15" w:rsidRPr="00A82F15" w:rsidRDefault="00A82F15" w:rsidP="00724C70">
      <w:pPr>
        <w:pStyle w:val="Paragrafoelenco"/>
        <w:numPr>
          <w:ilvl w:val="0"/>
          <w:numId w:val="2"/>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A82F15">
        <w:rPr>
          <w:rFonts w:ascii="Garamond" w:eastAsia="Calibri" w:hAnsi="Garamond" w:cs="Times New Roman"/>
          <w:sz w:val="23"/>
          <w:szCs w:val="23"/>
        </w:rPr>
        <w:t xml:space="preserve">Area di rischio n. 2 “Acquisizione e </w:t>
      </w:r>
      <w:r w:rsidR="00157A0D">
        <w:rPr>
          <w:rFonts w:ascii="Garamond" w:eastAsia="Calibri" w:hAnsi="Garamond" w:cs="Times New Roman"/>
          <w:sz w:val="23"/>
          <w:szCs w:val="23"/>
        </w:rPr>
        <w:t>gestione</w:t>
      </w:r>
      <w:r w:rsidRPr="00A82F15">
        <w:rPr>
          <w:rFonts w:ascii="Garamond" w:eastAsia="Calibri" w:hAnsi="Garamond" w:cs="Times New Roman"/>
          <w:sz w:val="23"/>
          <w:szCs w:val="23"/>
        </w:rPr>
        <w:t xml:space="preserve"> del personale”;</w:t>
      </w:r>
    </w:p>
    <w:p w14:paraId="6856F16F" w14:textId="77777777" w:rsidR="00A82F15" w:rsidRPr="00A82F15" w:rsidRDefault="00A82F15" w:rsidP="00724C70">
      <w:pPr>
        <w:pStyle w:val="Paragrafoelenco"/>
        <w:numPr>
          <w:ilvl w:val="0"/>
          <w:numId w:val="2"/>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A82F15">
        <w:rPr>
          <w:rFonts w:ascii="Garamond" w:eastAsia="Calibri" w:hAnsi="Garamond" w:cs="Times New Roman"/>
          <w:sz w:val="23"/>
          <w:szCs w:val="23"/>
        </w:rPr>
        <w:lastRenderedPageBreak/>
        <w:t>Area di rischio n. 3 “Provvedimenti ampliativi della sfera giuridica dei destinatari privi di effetto economico diretto ed immediato per il destinatario”;</w:t>
      </w:r>
    </w:p>
    <w:p w14:paraId="6A792A6E" w14:textId="77777777" w:rsidR="00A82F15" w:rsidRPr="00A82F15" w:rsidRDefault="00A82F15" w:rsidP="00724C70">
      <w:pPr>
        <w:pStyle w:val="Paragrafoelenco"/>
        <w:numPr>
          <w:ilvl w:val="0"/>
          <w:numId w:val="2"/>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A82F15">
        <w:rPr>
          <w:rFonts w:ascii="Garamond" w:eastAsia="Calibri" w:hAnsi="Garamond" w:cs="Times New Roman"/>
          <w:sz w:val="23"/>
          <w:szCs w:val="23"/>
        </w:rPr>
        <w:t>Area di rischio n. 4 “Provvedimenti ampliativi della sfera giuridica dei destinatari con effetto economico diretto ed immediato per il destinatario”;</w:t>
      </w:r>
    </w:p>
    <w:p w14:paraId="455DA882" w14:textId="77777777" w:rsidR="00A82F15" w:rsidRPr="00A82F15" w:rsidRDefault="00A82F15" w:rsidP="00724C70">
      <w:pPr>
        <w:pStyle w:val="Paragrafoelenco"/>
        <w:numPr>
          <w:ilvl w:val="0"/>
          <w:numId w:val="2"/>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A82F15">
        <w:rPr>
          <w:rFonts w:ascii="Garamond" w:eastAsia="Calibri" w:hAnsi="Garamond" w:cs="Times New Roman"/>
          <w:sz w:val="23"/>
          <w:szCs w:val="23"/>
        </w:rPr>
        <w:t>Area di rischio n. 5 “Gestione delle Entrate delle Spese e del Patrimonio”;</w:t>
      </w:r>
    </w:p>
    <w:p w14:paraId="3516684E" w14:textId="77777777" w:rsidR="00A82F15" w:rsidRPr="00A82F15" w:rsidRDefault="00A82F15" w:rsidP="00724C70">
      <w:pPr>
        <w:pStyle w:val="Paragrafoelenco"/>
        <w:numPr>
          <w:ilvl w:val="0"/>
          <w:numId w:val="2"/>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A82F15">
        <w:rPr>
          <w:rFonts w:ascii="Garamond" w:eastAsia="Calibri" w:hAnsi="Garamond" w:cs="Times New Roman"/>
          <w:sz w:val="23"/>
          <w:szCs w:val="23"/>
        </w:rPr>
        <w:t>Area di rischio n. 6 “Controlli, Verifiche, Ispezioni e Sanzioni”;</w:t>
      </w:r>
    </w:p>
    <w:p w14:paraId="37AC5373" w14:textId="77777777" w:rsidR="00A82F15" w:rsidRPr="00A82F15" w:rsidRDefault="00A82F15" w:rsidP="00724C70">
      <w:pPr>
        <w:pStyle w:val="Paragrafoelenco"/>
        <w:numPr>
          <w:ilvl w:val="0"/>
          <w:numId w:val="2"/>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A82F15">
        <w:rPr>
          <w:rFonts w:ascii="Garamond" w:eastAsia="Calibri" w:hAnsi="Garamond" w:cs="Times New Roman"/>
          <w:sz w:val="23"/>
          <w:szCs w:val="23"/>
        </w:rPr>
        <w:t>Area di rischio n. 7 “Incarichi e Nomine”;</w:t>
      </w:r>
    </w:p>
    <w:p w14:paraId="690A37D2" w14:textId="77777777" w:rsidR="00A82F15" w:rsidRPr="00A82F15" w:rsidRDefault="00A82F15" w:rsidP="00724C70">
      <w:pPr>
        <w:pStyle w:val="Paragrafoelenco"/>
        <w:numPr>
          <w:ilvl w:val="0"/>
          <w:numId w:val="2"/>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A82F15">
        <w:rPr>
          <w:rFonts w:ascii="Garamond" w:eastAsia="Calibri" w:hAnsi="Garamond" w:cs="Times New Roman"/>
          <w:sz w:val="23"/>
          <w:szCs w:val="23"/>
        </w:rPr>
        <w:t xml:space="preserve">Area di rischio n. 8 “Affari Legali e Contenzioso”; </w:t>
      </w:r>
    </w:p>
    <w:p w14:paraId="480C5359" w14:textId="77777777" w:rsidR="00A82F15" w:rsidRPr="00A82F15" w:rsidRDefault="00A82F15" w:rsidP="00724C70">
      <w:pPr>
        <w:pStyle w:val="Paragrafoelenco"/>
        <w:numPr>
          <w:ilvl w:val="0"/>
          <w:numId w:val="2"/>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A82F15">
        <w:rPr>
          <w:rFonts w:ascii="Garamond" w:eastAsia="Calibri" w:hAnsi="Garamond" w:cs="Times New Roman"/>
          <w:sz w:val="23"/>
          <w:szCs w:val="23"/>
        </w:rPr>
        <w:t>Area di rischio n. 9 “Governo del Territorio”;</w:t>
      </w:r>
    </w:p>
    <w:p w14:paraId="1BE651EE" w14:textId="184A3B16" w:rsidR="00A82F15" w:rsidRPr="00A82F15" w:rsidRDefault="00A82F15" w:rsidP="00724C70">
      <w:pPr>
        <w:pStyle w:val="Paragrafoelenco"/>
        <w:numPr>
          <w:ilvl w:val="0"/>
          <w:numId w:val="2"/>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A82F15">
        <w:rPr>
          <w:rFonts w:ascii="Garamond" w:eastAsia="Calibri" w:hAnsi="Garamond" w:cs="Times New Roman"/>
          <w:sz w:val="23"/>
          <w:szCs w:val="23"/>
        </w:rPr>
        <w:t>Area di rischio n. 10 “Le Procedure di Gestione dei Fondi Strutturali e dei Fondi Nazionali per le Politiche di Coesione</w:t>
      </w:r>
      <w:r w:rsidR="00912F76">
        <w:rPr>
          <w:rFonts w:ascii="Garamond" w:eastAsia="Calibri" w:hAnsi="Garamond" w:cs="Times New Roman"/>
          <w:sz w:val="23"/>
          <w:szCs w:val="23"/>
        </w:rPr>
        <w:t xml:space="preserve"> e per la Politica Agricola Comune (PAC) e dei Fondi Regionali</w:t>
      </w:r>
      <w:r w:rsidRPr="00A82F15">
        <w:rPr>
          <w:rFonts w:ascii="Garamond" w:eastAsia="Calibri" w:hAnsi="Garamond" w:cs="Times New Roman"/>
          <w:sz w:val="23"/>
          <w:szCs w:val="23"/>
        </w:rPr>
        <w:t>”;</w:t>
      </w:r>
    </w:p>
    <w:p w14:paraId="6DE1CDB5" w14:textId="77777777" w:rsidR="00A82F15" w:rsidRPr="00A82F15" w:rsidRDefault="00A82F15" w:rsidP="00724C70">
      <w:pPr>
        <w:pStyle w:val="Paragrafoelenco"/>
        <w:numPr>
          <w:ilvl w:val="0"/>
          <w:numId w:val="2"/>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A82F15">
        <w:rPr>
          <w:rFonts w:ascii="Garamond" w:eastAsia="Calibri" w:hAnsi="Garamond" w:cs="Times New Roman"/>
          <w:sz w:val="23"/>
          <w:szCs w:val="23"/>
        </w:rPr>
        <w:t>Area di rischio n. 11 “Attività istituzionale in campo sanitario”;</w:t>
      </w:r>
    </w:p>
    <w:p w14:paraId="0A9D8614" w14:textId="77777777" w:rsidR="00A82F15" w:rsidRPr="00A82F15" w:rsidRDefault="00A82F15" w:rsidP="00724C70">
      <w:pPr>
        <w:pStyle w:val="Paragrafoelenco"/>
        <w:numPr>
          <w:ilvl w:val="0"/>
          <w:numId w:val="2"/>
        </w:numPr>
        <w:autoSpaceDE w:val="0"/>
        <w:autoSpaceDN w:val="0"/>
        <w:adjustRightInd w:val="0"/>
        <w:spacing w:after="0" w:line="276" w:lineRule="auto"/>
        <w:ind w:right="-1"/>
        <w:contextualSpacing w:val="0"/>
        <w:jc w:val="both"/>
        <w:rPr>
          <w:rFonts w:ascii="Garamond" w:eastAsia="Calibri" w:hAnsi="Garamond" w:cs="Times New Roman"/>
          <w:sz w:val="23"/>
          <w:szCs w:val="23"/>
        </w:rPr>
      </w:pPr>
      <w:r w:rsidRPr="00A82F15">
        <w:rPr>
          <w:rFonts w:ascii="Garamond" w:eastAsia="Calibri" w:hAnsi="Garamond" w:cs="Times New Roman"/>
          <w:sz w:val="23"/>
          <w:szCs w:val="23"/>
        </w:rPr>
        <w:t>Area di rischio n.12 “Gestione dei Rifiuti”.</w:t>
      </w:r>
    </w:p>
    <w:p w14:paraId="2B422236" w14:textId="1B5953EE" w:rsidR="00722E38" w:rsidRDefault="00F32356" w:rsidP="00582EFE">
      <w:pPr>
        <w:autoSpaceDE w:val="0"/>
        <w:autoSpaceDN w:val="0"/>
        <w:adjustRightInd w:val="0"/>
        <w:spacing w:after="0" w:line="276" w:lineRule="auto"/>
        <w:ind w:right="-1"/>
        <w:jc w:val="both"/>
        <w:rPr>
          <w:rFonts w:ascii="Garamond" w:eastAsia="Calibri" w:hAnsi="Garamond" w:cs="Times New Roman"/>
          <w:iCs/>
          <w:sz w:val="23"/>
          <w:szCs w:val="23"/>
        </w:rPr>
      </w:pPr>
      <w:r>
        <w:rPr>
          <w:rFonts w:ascii="Garamond" w:eastAsia="Calibri" w:hAnsi="Garamond" w:cs="Times New Roman"/>
          <w:iCs/>
          <w:sz w:val="23"/>
          <w:szCs w:val="23"/>
        </w:rPr>
        <w:t xml:space="preserve">I processi, mappati e correlati alle suddette Aree di Rischio, sono esposti nel suddetto </w:t>
      </w:r>
      <w:r w:rsidRPr="00F32356">
        <w:rPr>
          <w:rFonts w:ascii="Garamond" w:eastAsia="Calibri" w:hAnsi="Garamond" w:cs="Times New Roman"/>
          <w:i/>
          <w:iCs/>
          <w:sz w:val="23"/>
          <w:szCs w:val="23"/>
        </w:rPr>
        <w:t>Allegato A</w:t>
      </w:r>
      <w:r>
        <w:rPr>
          <w:rFonts w:ascii="Garamond" w:eastAsia="Calibri" w:hAnsi="Garamond" w:cs="Times New Roman"/>
          <w:iCs/>
          <w:sz w:val="23"/>
          <w:szCs w:val="23"/>
        </w:rPr>
        <w:t xml:space="preserve"> secondo un’articolazione per Dipartimenti/Servizi regionali e sono distinti in “Processi Trasve</w:t>
      </w:r>
      <w:r w:rsidR="007B618C">
        <w:rPr>
          <w:rFonts w:ascii="Garamond" w:eastAsia="Calibri" w:hAnsi="Garamond" w:cs="Times New Roman"/>
          <w:iCs/>
          <w:sz w:val="23"/>
          <w:szCs w:val="23"/>
        </w:rPr>
        <w:t xml:space="preserve">rsali” (ossia comuni a tutti) </w:t>
      </w:r>
      <w:proofErr w:type="gramStart"/>
      <w:r w:rsidR="007B618C">
        <w:rPr>
          <w:rFonts w:ascii="Garamond" w:eastAsia="Calibri" w:hAnsi="Garamond" w:cs="Times New Roman"/>
          <w:iCs/>
          <w:sz w:val="23"/>
          <w:szCs w:val="23"/>
        </w:rPr>
        <w:t xml:space="preserve">e </w:t>
      </w:r>
      <w:r>
        <w:rPr>
          <w:rFonts w:ascii="Garamond" w:eastAsia="Calibri" w:hAnsi="Garamond" w:cs="Times New Roman"/>
          <w:iCs/>
          <w:sz w:val="23"/>
          <w:szCs w:val="23"/>
        </w:rPr>
        <w:t>“</w:t>
      </w:r>
      <w:proofErr w:type="gramEnd"/>
      <w:r>
        <w:rPr>
          <w:rFonts w:ascii="Garamond" w:eastAsia="Calibri" w:hAnsi="Garamond" w:cs="Times New Roman"/>
          <w:iCs/>
          <w:sz w:val="23"/>
          <w:szCs w:val="23"/>
        </w:rPr>
        <w:t>Processi Specifici” (ossia relativi a determinati Dipartimenti/Servizi regionali).</w:t>
      </w:r>
    </w:p>
    <w:p w14:paraId="00AD104B" w14:textId="77777777" w:rsidR="00912F76" w:rsidRPr="00F1615A" w:rsidRDefault="00912F76" w:rsidP="00582EFE">
      <w:pPr>
        <w:autoSpaceDE w:val="0"/>
        <w:autoSpaceDN w:val="0"/>
        <w:adjustRightInd w:val="0"/>
        <w:spacing w:after="0" w:line="276" w:lineRule="auto"/>
        <w:ind w:right="-1"/>
        <w:jc w:val="both"/>
        <w:rPr>
          <w:rFonts w:ascii="Garamond" w:eastAsia="Calibri" w:hAnsi="Garamond" w:cs="Times New Roman"/>
          <w:iCs/>
          <w:sz w:val="23"/>
          <w:szCs w:val="23"/>
        </w:rPr>
      </w:pPr>
    </w:p>
    <w:p w14:paraId="4A23CCDC" w14:textId="77777777" w:rsidR="00BB4C49" w:rsidRPr="001E1FAC" w:rsidRDefault="00BB4C49" w:rsidP="00582EFE">
      <w:pPr>
        <w:spacing w:after="0" w:line="276" w:lineRule="auto"/>
        <w:ind w:right="-1"/>
        <w:jc w:val="both"/>
        <w:outlineLvl w:val="1"/>
        <w:rPr>
          <w:rFonts w:ascii="Garamond" w:eastAsia="Calibri" w:hAnsi="Garamond" w:cs="Times New Roman"/>
          <w:b/>
          <w:sz w:val="23"/>
          <w:szCs w:val="23"/>
        </w:rPr>
      </w:pPr>
      <w:bookmarkStart w:id="23" w:name="_Toc102136705"/>
      <w:bookmarkEnd w:id="22"/>
      <w:r w:rsidRPr="00763302">
        <w:rPr>
          <w:rFonts w:ascii="Garamond" w:eastAsia="Calibri" w:hAnsi="Garamond" w:cs="Times New Roman"/>
          <w:b/>
          <w:sz w:val="23"/>
          <w:szCs w:val="23"/>
        </w:rPr>
        <w:t>2.4.5 IDENTIFICAZIONE E VALUTAZIONE DEI RISCHI CORRUTTIVI POTENZIALI E CONCRETI</w:t>
      </w:r>
      <w:bookmarkEnd w:id="23"/>
    </w:p>
    <w:p w14:paraId="7B5E13FF" w14:textId="77777777" w:rsidR="00BB4C49" w:rsidRPr="00BB4C49" w:rsidRDefault="00BB4C49" w:rsidP="00582EFE">
      <w:pPr>
        <w:autoSpaceDE w:val="0"/>
        <w:autoSpaceDN w:val="0"/>
        <w:adjustRightInd w:val="0"/>
        <w:spacing w:after="0" w:line="276" w:lineRule="auto"/>
        <w:ind w:right="-1"/>
        <w:jc w:val="both"/>
        <w:rPr>
          <w:rFonts w:ascii="Garamond" w:eastAsia="Calibri" w:hAnsi="Garamond" w:cs="Times New Roman"/>
          <w:iCs/>
          <w:smallCaps/>
          <w:sz w:val="23"/>
          <w:szCs w:val="23"/>
        </w:rPr>
      </w:pPr>
    </w:p>
    <w:p w14:paraId="28D978A5" w14:textId="20104310" w:rsidR="006A7379" w:rsidRDefault="006A7379" w:rsidP="00582EFE">
      <w:pPr>
        <w:pStyle w:val="Default"/>
        <w:spacing w:line="276" w:lineRule="auto"/>
        <w:ind w:right="-1"/>
        <w:jc w:val="both"/>
        <w:rPr>
          <w:rFonts w:cs="Times New Roman"/>
          <w:iCs/>
          <w:sz w:val="23"/>
          <w:szCs w:val="23"/>
        </w:rPr>
      </w:pPr>
      <w:bookmarkStart w:id="24" w:name="_Toc43328990"/>
      <w:bookmarkStart w:id="25" w:name="_Toc43329188"/>
      <w:bookmarkEnd w:id="21"/>
      <w:r>
        <w:rPr>
          <w:rFonts w:cs="Times New Roman"/>
          <w:iCs/>
          <w:sz w:val="23"/>
          <w:szCs w:val="23"/>
        </w:rPr>
        <w:t>Con il PNA 2019, è stata svolta un’analisi critica della metodologia di valutazione dei rischi introdotta dal PNA 2013</w:t>
      </w:r>
      <w:r w:rsidRPr="006A7379">
        <w:rPr>
          <w:rFonts w:cs="Times New Roman"/>
          <w:iCs/>
          <w:sz w:val="23"/>
          <w:szCs w:val="23"/>
        </w:rPr>
        <w:t xml:space="preserve"> </w:t>
      </w:r>
      <w:r>
        <w:rPr>
          <w:rFonts w:cs="Times New Roman"/>
          <w:iCs/>
          <w:sz w:val="23"/>
          <w:szCs w:val="23"/>
        </w:rPr>
        <w:t>che si basava sulla attribuzione del</w:t>
      </w:r>
      <w:r w:rsidRPr="00D86DC5">
        <w:rPr>
          <w:rFonts w:cs="Times New Roman"/>
          <w:iCs/>
          <w:sz w:val="23"/>
          <w:szCs w:val="23"/>
        </w:rPr>
        <w:t xml:space="preserve"> livello di rischio </w:t>
      </w:r>
      <w:r>
        <w:rPr>
          <w:rFonts w:cs="Times New Roman"/>
          <w:iCs/>
          <w:sz w:val="23"/>
          <w:szCs w:val="23"/>
        </w:rPr>
        <w:t>in relazione ad</w:t>
      </w:r>
      <w:r w:rsidRPr="00D86DC5">
        <w:rPr>
          <w:rFonts w:cs="Times New Roman"/>
          <w:iCs/>
          <w:sz w:val="23"/>
          <w:szCs w:val="23"/>
        </w:rPr>
        <w:t xml:space="preserve"> un valore numerico</w:t>
      </w:r>
      <w:r>
        <w:rPr>
          <w:rFonts w:cs="Times New Roman"/>
          <w:iCs/>
          <w:sz w:val="23"/>
          <w:szCs w:val="23"/>
        </w:rPr>
        <w:t>.</w:t>
      </w:r>
    </w:p>
    <w:p w14:paraId="419B9D1B" w14:textId="72C4C639" w:rsidR="00D60247" w:rsidRDefault="006A7379" w:rsidP="00582EFE">
      <w:pPr>
        <w:pStyle w:val="Default"/>
        <w:spacing w:line="276" w:lineRule="auto"/>
        <w:ind w:right="-1"/>
        <w:jc w:val="both"/>
        <w:rPr>
          <w:rFonts w:cs="Times New Roman"/>
          <w:iCs/>
          <w:sz w:val="23"/>
          <w:szCs w:val="23"/>
        </w:rPr>
      </w:pPr>
      <w:bookmarkStart w:id="26" w:name="_Toc43329203"/>
      <w:bookmarkEnd w:id="24"/>
      <w:bookmarkEnd w:id="25"/>
      <w:r>
        <w:rPr>
          <w:rFonts w:cs="Times New Roman"/>
          <w:iCs/>
          <w:sz w:val="23"/>
          <w:szCs w:val="23"/>
        </w:rPr>
        <w:t xml:space="preserve">Il suddetto metodo, </w:t>
      </w:r>
      <w:r w:rsidR="00C156FE" w:rsidRPr="00514EAC">
        <w:rPr>
          <w:rFonts w:cs="Times New Roman"/>
          <w:iCs/>
          <w:color w:val="auto"/>
          <w:sz w:val="23"/>
          <w:szCs w:val="23"/>
        </w:rPr>
        <w:t>cd. “quantitativo”</w:t>
      </w:r>
      <w:r w:rsidRPr="00514EAC">
        <w:rPr>
          <w:rFonts w:cs="Times New Roman"/>
          <w:iCs/>
          <w:color w:val="auto"/>
          <w:sz w:val="23"/>
          <w:szCs w:val="23"/>
        </w:rPr>
        <w:t xml:space="preserve">, è </w:t>
      </w:r>
      <w:r>
        <w:rPr>
          <w:rFonts w:cs="Times New Roman"/>
          <w:iCs/>
          <w:sz w:val="23"/>
          <w:szCs w:val="23"/>
        </w:rPr>
        <w:t xml:space="preserve">stato ritenuto non idoneo in quanto non </w:t>
      </w:r>
      <w:r w:rsidR="00D60247">
        <w:rPr>
          <w:rFonts w:cs="Times New Roman"/>
          <w:iCs/>
          <w:sz w:val="23"/>
          <w:szCs w:val="23"/>
        </w:rPr>
        <w:t>consentiva</w:t>
      </w:r>
      <w:r>
        <w:rPr>
          <w:rFonts w:cs="Times New Roman"/>
          <w:iCs/>
          <w:sz w:val="23"/>
          <w:szCs w:val="23"/>
        </w:rPr>
        <w:t xml:space="preserve"> una ponderazione reale del rischio</w:t>
      </w:r>
      <w:r w:rsidR="00D60247">
        <w:rPr>
          <w:rFonts w:cs="Times New Roman"/>
          <w:iCs/>
          <w:sz w:val="23"/>
          <w:szCs w:val="23"/>
        </w:rPr>
        <w:t xml:space="preserve">; </w:t>
      </w:r>
      <w:r w:rsidR="007A57AE" w:rsidRPr="00D86DC5">
        <w:rPr>
          <w:rFonts w:cs="Times New Roman"/>
          <w:iCs/>
          <w:sz w:val="23"/>
          <w:szCs w:val="23"/>
        </w:rPr>
        <w:t>l’ANAC</w:t>
      </w:r>
      <w:r w:rsidR="00D60247">
        <w:rPr>
          <w:rFonts w:cs="Times New Roman"/>
          <w:iCs/>
          <w:sz w:val="23"/>
          <w:szCs w:val="23"/>
        </w:rPr>
        <w:t xml:space="preserve"> dunque</w:t>
      </w:r>
      <w:r w:rsidR="007A57AE" w:rsidRPr="00D86DC5">
        <w:rPr>
          <w:rFonts w:cs="Times New Roman"/>
          <w:iCs/>
          <w:sz w:val="23"/>
          <w:szCs w:val="23"/>
        </w:rPr>
        <w:t xml:space="preserve">, </w:t>
      </w:r>
      <w:r w:rsidR="00D60247">
        <w:rPr>
          <w:rFonts w:cs="Times New Roman"/>
          <w:iCs/>
          <w:sz w:val="23"/>
          <w:szCs w:val="23"/>
        </w:rPr>
        <w:t>con il</w:t>
      </w:r>
      <w:r w:rsidR="007A57AE" w:rsidRPr="00D86DC5">
        <w:rPr>
          <w:rFonts w:cs="Times New Roman"/>
          <w:iCs/>
          <w:sz w:val="23"/>
          <w:szCs w:val="23"/>
        </w:rPr>
        <w:t xml:space="preserve"> PNA 2019, </w:t>
      </w:r>
      <w:r w:rsidR="00D60247">
        <w:rPr>
          <w:rFonts w:cs="Times New Roman"/>
          <w:iCs/>
          <w:sz w:val="23"/>
          <w:szCs w:val="23"/>
        </w:rPr>
        <w:t>ha introdotto un cambiamento di approccio che, sia pur gradualmente, pervenisse ad</w:t>
      </w:r>
      <w:r w:rsidR="00D60247" w:rsidRPr="00D86DC5">
        <w:rPr>
          <w:rFonts w:cs="Times New Roman"/>
          <w:iCs/>
          <w:sz w:val="23"/>
          <w:szCs w:val="23"/>
        </w:rPr>
        <w:t xml:space="preserve"> un sistema di misurazione </w:t>
      </w:r>
      <w:r w:rsidR="00D60247" w:rsidRPr="00D60247">
        <w:rPr>
          <w:rFonts w:cs="Times New Roman"/>
          <w:sz w:val="23"/>
          <w:szCs w:val="23"/>
        </w:rPr>
        <w:t>qualitativo</w:t>
      </w:r>
      <w:r w:rsidR="00D60247">
        <w:rPr>
          <w:rFonts w:cs="Times New Roman"/>
          <w:iCs/>
          <w:sz w:val="23"/>
          <w:szCs w:val="23"/>
        </w:rPr>
        <w:t xml:space="preserve"> </w:t>
      </w:r>
      <w:r w:rsidR="00D60247" w:rsidRPr="00D86DC5">
        <w:rPr>
          <w:rFonts w:cs="Times New Roman"/>
          <w:iCs/>
          <w:sz w:val="23"/>
          <w:szCs w:val="23"/>
        </w:rPr>
        <w:t>basa</w:t>
      </w:r>
      <w:r w:rsidR="00D60247">
        <w:rPr>
          <w:rFonts w:cs="Times New Roman"/>
          <w:iCs/>
          <w:sz w:val="23"/>
          <w:szCs w:val="23"/>
        </w:rPr>
        <w:t>to</w:t>
      </w:r>
      <w:r w:rsidR="00D60247" w:rsidRPr="00D86DC5">
        <w:rPr>
          <w:rFonts w:cs="Times New Roman"/>
          <w:iCs/>
          <w:sz w:val="23"/>
          <w:szCs w:val="23"/>
        </w:rPr>
        <w:t xml:space="preserve"> sul principio di prudenza</w:t>
      </w:r>
      <w:r w:rsidR="00D60247">
        <w:rPr>
          <w:rFonts w:cs="Times New Roman"/>
          <w:iCs/>
          <w:sz w:val="23"/>
          <w:szCs w:val="23"/>
        </w:rPr>
        <w:t>.</w:t>
      </w:r>
    </w:p>
    <w:p w14:paraId="18326ED5" w14:textId="7C9ECC15" w:rsidR="007A57AE" w:rsidRPr="00D86DC5" w:rsidRDefault="00D60247" w:rsidP="00582EFE">
      <w:pPr>
        <w:pStyle w:val="Default"/>
        <w:spacing w:line="276" w:lineRule="auto"/>
        <w:ind w:right="-1"/>
        <w:jc w:val="both"/>
        <w:rPr>
          <w:rFonts w:cs="Times New Roman"/>
          <w:iCs/>
          <w:sz w:val="23"/>
          <w:szCs w:val="23"/>
        </w:rPr>
      </w:pPr>
      <w:bookmarkStart w:id="27" w:name="_Toc43329207"/>
      <w:bookmarkEnd w:id="26"/>
      <w:r>
        <w:rPr>
          <w:rFonts w:cs="Times New Roman"/>
          <w:iCs/>
          <w:sz w:val="23"/>
          <w:szCs w:val="23"/>
        </w:rPr>
        <w:t>Fatte salve ulteriori valutazioni e rivisitazioni del livello di rischio,</w:t>
      </w:r>
      <w:r w:rsidR="007A57AE" w:rsidRPr="00D86DC5">
        <w:rPr>
          <w:rFonts w:cs="Times New Roman"/>
          <w:iCs/>
          <w:sz w:val="23"/>
          <w:szCs w:val="23"/>
        </w:rPr>
        <w:t xml:space="preserve"> </w:t>
      </w:r>
      <w:r w:rsidR="00C156FE" w:rsidRPr="00514EAC">
        <w:rPr>
          <w:rFonts w:cs="Times New Roman"/>
          <w:iCs/>
          <w:color w:val="auto"/>
          <w:sz w:val="23"/>
          <w:szCs w:val="23"/>
        </w:rPr>
        <w:t xml:space="preserve">si </w:t>
      </w:r>
      <w:r w:rsidR="007A57AE" w:rsidRPr="00514EAC">
        <w:rPr>
          <w:rFonts w:cs="Times New Roman"/>
          <w:iCs/>
          <w:color w:val="auto"/>
          <w:sz w:val="23"/>
          <w:szCs w:val="23"/>
        </w:rPr>
        <w:t xml:space="preserve">conferma </w:t>
      </w:r>
      <w:r w:rsidR="007A57AE" w:rsidRPr="00D86DC5">
        <w:rPr>
          <w:rFonts w:cs="Times New Roman"/>
          <w:iCs/>
          <w:sz w:val="23"/>
          <w:szCs w:val="23"/>
        </w:rPr>
        <w:t xml:space="preserve">in via generale </w:t>
      </w:r>
      <w:r>
        <w:rPr>
          <w:rFonts w:cs="Times New Roman"/>
          <w:iCs/>
          <w:sz w:val="23"/>
          <w:szCs w:val="23"/>
        </w:rPr>
        <w:t>il</w:t>
      </w:r>
      <w:r w:rsidR="007A57AE" w:rsidRPr="00D86DC5">
        <w:rPr>
          <w:rFonts w:cs="Times New Roman"/>
          <w:iCs/>
          <w:sz w:val="23"/>
          <w:szCs w:val="23"/>
        </w:rPr>
        <w:t xml:space="preserve"> livello di rischio </w:t>
      </w:r>
      <w:r>
        <w:rPr>
          <w:rFonts w:cs="Times New Roman"/>
          <w:iCs/>
          <w:sz w:val="23"/>
          <w:szCs w:val="23"/>
        </w:rPr>
        <w:t xml:space="preserve">dei processi </w:t>
      </w:r>
      <w:r w:rsidR="009F625C">
        <w:rPr>
          <w:rFonts w:cs="Times New Roman"/>
          <w:iCs/>
          <w:sz w:val="23"/>
          <w:szCs w:val="23"/>
        </w:rPr>
        <w:t xml:space="preserve">attribuito nei Piani precedenti anche in relazione </w:t>
      </w:r>
      <w:r w:rsidR="007A57AE" w:rsidRPr="00D86DC5">
        <w:rPr>
          <w:rFonts w:cs="Times New Roman"/>
          <w:iCs/>
          <w:sz w:val="23"/>
          <w:szCs w:val="23"/>
        </w:rPr>
        <w:t>alle s</w:t>
      </w:r>
      <w:r w:rsidR="009F625C">
        <w:rPr>
          <w:rFonts w:cs="Times New Roman"/>
          <w:iCs/>
          <w:sz w:val="23"/>
          <w:szCs w:val="23"/>
        </w:rPr>
        <w:t>celte operate dal legislatore nazionale con la L. 190/2012</w:t>
      </w:r>
      <w:r w:rsidR="007A57AE" w:rsidRPr="00D86DC5">
        <w:rPr>
          <w:rFonts w:cs="Times New Roman"/>
          <w:iCs/>
          <w:sz w:val="23"/>
          <w:szCs w:val="23"/>
        </w:rPr>
        <w:t xml:space="preserve"> </w:t>
      </w:r>
      <w:r w:rsidR="009F625C">
        <w:rPr>
          <w:rFonts w:cs="Times New Roman"/>
          <w:iCs/>
          <w:sz w:val="23"/>
          <w:szCs w:val="23"/>
        </w:rPr>
        <w:t>individuando</w:t>
      </w:r>
      <w:r w:rsidR="007A57AE" w:rsidRPr="00D86DC5">
        <w:rPr>
          <w:rFonts w:cs="Times New Roman"/>
          <w:iCs/>
          <w:sz w:val="23"/>
          <w:szCs w:val="23"/>
        </w:rPr>
        <w:t xml:space="preserve"> come </w:t>
      </w:r>
      <w:r w:rsidR="00F67A8B">
        <w:rPr>
          <w:rFonts w:cs="Times New Roman"/>
          <w:iCs/>
          <w:sz w:val="23"/>
          <w:szCs w:val="23"/>
        </w:rPr>
        <w:t>procedimenti</w:t>
      </w:r>
      <w:r w:rsidR="007A57AE" w:rsidRPr="00D86DC5">
        <w:rPr>
          <w:rFonts w:cs="Times New Roman"/>
          <w:iCs/>
          <w:sz w:val="23"/>
          <w:szCs w:val="23"/>
        </w:rPr>
        <w:t xml:space="preserve"> a </w:t>
      </w:r>
      <w:r w:rsidR="009F625C">
        <w:rPr>
          <w:rFonts w:cs="Times New Roman"/>
          <w:iCs/>
          <w:sz w:val="23"/>
          <w:szCs w:val="23"/>
        </w:rPr>
        <w:t xml:space="preserve">maggiore </w:t>
      </w:r>
      <w:r w:rsidR="007A57AE" w:rsidRPr="00D86DC5">
        <w:rPr>
          <w:rFonts w:cs="Times New Roman"/>
          <w:iCs/>
          <w:sz w:val="23"/>
          <w:szCs w:val="23"/>
        </w:rPr>
        <w:t xml:space="preserve">rischio corruttivo </w:t>
      </w:r>
      <w:r w:rsidR="00F67A8B">
        <w:rPr>
          <w:rFonts w:cs="Times New Roman"/>
          <w:iCs/>
          <w:sz w:val="23"/>
          <w:szCs w:val="23"/>
        </w:rPr>
        <w:t>i</w:t>
      </w:r>
      <w:r w:rsidR="007A57AE" w:rsidRPr="00D86DC5">
        <w:rPr>
          <w:rFonts w:cs="Times New Roman"/>
          <w:iCs/>
          <w:sz w:val="23"/>
          <w:szCs w:val="23"/>
        </w:rPr>
        <w:t xml:space="preserve"> seguenti:</w:t>
      </w:r>
      <w:bookmarkEnd w:id="27"/>
      <w:r w:rsidR="007A57AE" w:rsidRPr="00D86DC5">
        <w:rPr>
          <w:rFonts w:cs="Times New Roman"/>
          <w:iCs/>
          <w:sz w:val="23"/>
          <w:szCs w:val="23"/>
        </w:rPr>
        <w:t xml:space="preserve">  </w:t>
      </w:r>
    </w:p>
    <w:p w14:paraId="61D28E56" w14:textId="64F8D18D" w:rsidR="007A57AE" w:rsidRPr="00D86DC5" w:rsidRDefault="007A57AE" w:rsidP="00582EFE">
      <w:pPr>
        <w:pStyle w:val="Default"/>
        <w:spacing w:line="276" w:lineRule="auto"/>
        <w:ind w:right="-1"/>
        <w:jc w:val="both"/>
        <w:rPr>
          <w:rFonts w:cs="Times New Roman"/>
          <w:i/>
          <w:sz w:val="23"/>
          <w:szCs w:val="23"/>
        </w:rPr>
      </w:pPr>
      <w:bookmarkStart w:id="28" w:name="_Toc43329208"/>
      <w:r w:rsidRPr="00D86DC5">
        <w:rPr>
          <w:rFonts w:cs="Times New Roman"/>
          <w:i/>
          <w:sz w:val="23"/>
          <w:szCs w:val="23"/>
        </w:rPr>
        <w:t>a) autorizzazione o concessione;</w:t>
      </w:r>
      <w:bookmarkEnd w:id="28"/>
      <w:r w:rsidRPr="00D86DC5">
        <w:rPr>
          <w:rFonts w:cs="Times New Roman"/>
          <w:i/>
          <w:sz w:val="23"/>
          <w:szCs w:val="23"/>
        </w:rPr>
        <w:t xml:space="preserve">  </w:t>
      </w:r>
    </w:p>
    <w:p w14:paraId="65AB527B" w14:textId="77777777" w:rsidR="007A57AE" w:rsidRPr="00D86DC5" w:rsidRDefault="007A57AE" w:rsidP="00582EFE">
      <w:pPr>
        <w:pStyle w:val="Default"/>
        <w:spacing w:line="276" w:lineRule="auto"/>
        <w:ind w:right="-1"/>
        <w:jc w:val="both"/>
        <w:rPr>
          <w:rFonts w:cs="Times New Roman"/>
          <w:i/>
          <w:sz w:val="23"/>
          <w:szCs w:val="23"/>
        </w:rPr>
      </w:pPr>
      <w:bookmarkStart w:id="29" w:name="_Toc43329209"/>
      <w:r w:rsidRPr="00D86DC5">
        <w:rPr>
          <w:rFonts w:cs="Times New Roman"/>
          <w:i/>
          <w:sz w:val="23"/>
          <w:szCs w:val="23"/>
        </w:rPr>
        <w:t>b) scelta del contraente per l'affidamento di lavori, forniture e servizi, anche con riferimento alla modalità di selezione prescelta ai sensi del codice dei contratti pubblici relativi a lavori, servizi e forniture, di cui al decreto legislativo 12 aprile 2006, n.163;</w:t>
      </w:r>
      <w:bookmarkEnd w:id="29"/>
      <w:r w:rsidRPr="00D86DC5">
        <w:rPr>
          <w:rFonts w:cs="Times New Roman"/>
          <w:i/>
          <w:sz w:val="23"/>
          <w:szCs w:val="23"/>
        </w:rPr>
        <w:t xml:space="preserve">  </w:t>
      </w:r>
      <w:bookmarkStart w:id="30" w:name="_Hlk42769054"/>
    </w:p>
    <w:p w14:paraId="78881F55" w14:textId="77777777" w:rsidR="007A57AE" w:rsidRPr="00D86DC5" w:rsidRDefault="007A57AE" w:rsidP="00582EFE">
      <w:pPr>
        <w:pStyle w:val="Default"/>
        <w:spacing w:line="276" w:lineRule="auto"/>
        <w:ind w:right="-1"/>
        <w:jc w:val="both"/>
        <w:rPr>
          <w:rFonts w:cs="Times New Roman"/>
          <w:i/>
          <w:sz w:val="23"/>
          <w:szCs w:val="23"/>
        </w:rPr>
      </w:pPr>
      <w:bookmarkStart w:id="31" w:name="_Toc43329210"/>
      <w:r w:rsidRPr="00D86DC5">
        <w:rPr>
          <w:rFonts w:cs="Times New Roman"/>
          <w:i/>
          <w:sz w:val="23"/>
          <w:szCs w:val="23"/>
        </w:rPr>
        <w:t>c) concessione ed erogazione di sovvenzioni, contributi, sussidi, ausili finanziari, nonché attribuzione di vantaggi economici di qualunque genere a persone ed enti pubblici e privati;</w:t>
      </w:r>
      <w:bookmarkEnd w:id="31"/>
      <w:r w:rsidRPr="00D86DC5">
        <w:rPr>
          <w:rFonts w:cs="Times New Roman"/>
          <w:i/>
          <w:sz w:val="23"/>
          <w:szCs w:val="23"/>
        </w:rPr>
        <w:t xml:space="preserve"> </w:t>
      </w:r>
      <w:bookmarkEnd w:id="30"/>
      <w:r w:rsidRPr="00D86DC5">
        <w:rPr>
          <w:rFonts w:cs="Times New Roman"/>
          <w:i/>
          <w:sz w:val="23"/>
          <w:szCs w:val="23"/>
        </w:rPr>
        <w:t xml:space="preserve"> </w:t>
      </w:r>
    </w:p>
    <w:p w14:paraId="1926FA3D" w14:textId="30D4C694" w:rsidR="007A57AE" w:rsidRPr="00D86DC5" w:rsidRDefault="007A57AE" w:rsidP="00582EFE">
      <w:pPr>
        <w:pStyle w:val="Default"/>
        <w:spacing w:line="276" w:lineRule="auto"/>
        <w:ind w:right="-1"/>
        <w:jc w:val="both"/>
        <w:rPr>
          <w:rFonts w:cs="Times New Roman"/>
          <w:i/>
          <w:sz w:val="23"/>
          <w:szCs w:val="23"/>
        </w:rPr>
      </w:pPr>
      <w:bookmarkStart w:id="32" w:name="_Toc43329211"/>
      <w:r w:rsidRPr="00D86DC5">
        <w:rPr>
          <w:rFonts w:cs="Times New Roman"/>
          <w:i/>
          <w:sz w:val="23"/>
          <w:szCs w:val="23"/>
        </w:rPr>
        <w:t>d) concorsi e prove selettive per l'assunzione del personale e progressioni di carriera di cui all'articolo 24 del dec</w:t>
      </w:r>
      <w:r w:rsidR="009F625C">
        <w:rPr>
          <w:rFonts w:cs="Times New Roman"/>
          <w:i/>
          <w:sz w:val="23"/>
          <w:szCs w:val="23"/>
        </w:rPr>
        <w:t>reto legislativo n.150 del 2009</w:t>
      </w:r>
      <w:r w:rsidRPr="00D86DC5">
        <w:rPr>
          <w:rFonts w:cs="Times New Roman"/>
          <w:i/>
          <w:sz w:val="23"/>
          <w:szCs w:val="23"/>
        </w:rPr>
        <w:t>.</w:t>
      </w:r>
      <w:bookmarkEnd w:id="32"/>
    </w:p>
    <w:p w14:paraId="627F93B0" w14:textId="653B2018" w:rsidR="0089551F" w:rsidRDefault="009F625C" w:rsidP="00582EFE">
      <w:pPr>
        <w:pStyle w:val="Default"/>
        <w:spacing w:line="276" w:lineRule="auto"/>
        <w:ind w:right="-1"/>
        <w:jc w:val="both"/>
        <w:rPr>
          <w:rFonts w:cs="Times New Roman"/>
          <w:iCs/>
          <w:sz w:val="23"/>
          <w:szCs w:val="23"/>
        </w:rPr>
      </w:pPr>
      <w:bookmarkStart w:id="33" w:name="_Toc43329212"/>
      <w:r>
        <w:rPr>
          <w:rFonts w:cs="Times New Roman"/>
          <w:iCs/>
          <w:sz w:val="23"/>
          <w:szCs w:val="23"/>
        </w:rPr>
        <w:t xml:space="preserve">Conseguentemente </w:t>
      </w:r>
      <w:r w:rsidR="0089551F">
        <w:rPr>
          <w:rFonts w:cs="Times New Roman"/>
          <w:iCs/>
          <w:sz w:val="23"/>
          <w:szCs w:val="23"/>
        </w:rPr>
        <w:t>alle siffatte tipologie di processi può essere attribuito un</w:t>
      </w:r>
      <w:r w:rsidR="007A57AE" w:rsidRPr="00D86DC5">
        <w:rPr>
          <w:rFonts w:cs="Times New Roman"/>
          <w:iCs/>
          <w:sz w:val="23"/>
          <w:szCs w:val="23"/>
        </w:rPr>
        <w:t xml:space="preserve"> </w:t>
      </w:r>
      <w:bookmarkStart w:id="34" w:name="_Hlk42768737"/>
      <w:r w:rsidR="007A57AE" w:rsidRPr="0089551F">
        <w:rPr>
          <w:rFonts w:cs="Times New Roman"/>
          <w:sz w:val="23"/>
          <w:szCs w:val="23"/>
        </w:rPr>
        <w:t>Livello di Rischio Medio/Alto</w:t>
      </w:r>
      <w:bookmarkEnd w:id="34"/>
      <w:r w:rsidR="0089551F">
        <w:rPr>
          <w:rFonts w:cs="Times New Roman"/>
          <w:sz w:val="23"/>
          <w:szCs w:val="23"/>
        </w:rPr>
        <w:t xml:space="preserve">, prevedendo a presidio degli stessi </w:t>
      </w:r>
      <w:r w:rsidR="0089551F" w:rsidRPr="00D86DC5">
        <w:rPr>
          <w:rFonts w:cs="Times New Roman"/>
          <w:iCs/>
          <w:sz w:val="23"/>
          <w:szCs w:val="23"/>
        </w:rPr>
        <w:t xml:space="preserve">incisive </w:t>
      </w:r>
      <w:r w:rsidR="007A57AE" w:rsidRPr="00D86DC5">
        <w:rPr>
          <w:rFonts w:cs="Times New Roman"/>
          <w:iCs/>
          <w:sz w:val="23"/>
          <w:szCs w:val="23"/>
        </w:rPr>
        <w:t>misure per</w:t>
      </w:r>
      <w:r w:rsidR="0089551F">
        <w:rPr>
          <w:rFonts w:cs="Times New Roman"/>
          <w:iCs/>
          <w:sz w:val="23"/>
          <w:szCs w:val="23"/>
        </w:rPr>
        <w:t xml:space="preserve"> la mitigazione del </w:t>
      </w:r>
      <w:r w:rsidR="007A57AE" w:rsidRPr="00D86DC5">
        <w:rPr>
          <w:rFonts w:cs="Times New Roman"/>
          <w:iCs/>
          <w:sz w:val="23"/>
          <w:szCs w:val="23"/>
        </w:rPr>
        <w:t>rischi</w:t>
      </w:r>
      <w:r w:rsidR="0089551F">
        <w:rPr>
          <w:rFonts w:cs="Times New Roman"/>
          <w:iCs/>
          <w:sz w:val="23"/>
          <w:szCs w:val="23"/>
        </w:rPr>
        <w:t>o</w:t>
      </w:r>
      <w:r w:rsidR="007A57AE" w:rsidRPr="00D86DC5">
        <w:rPr>
          <w:rFonts w:cs="Times New Roman"/>
          <w:iCs/>
          <w:sz w:val="23"/>
          <w:szCs w:val="23"/>
        </w:rPr>
        <w:t>.</w:t>
      </w:r>
    </w:p>
    <w:p w14:paraId="2D5A8984" w14:textId="1BC10A0D" w:rsidR="00BD472D" w:rsidRDefault="00BD472D" w:rsidP="00582EFE">
      <w:pPr>
        <w:spacing w:after="0" w:line="276" w:lineRule="auto"/>
        <w:ind w:right="-1"/>
        <w:jc w:val="both"/>
      </w:pPr>
      <w:bookmarkStart w:id="35" w:name="_Toc43329220"/>
      <w:bookmarkEnd w:id="33"/>
    </w:p>
    <w:p w14:paraId="6C78DE95" w14:textId="40639098" w:rsidR="007A57AE" w:rsidRPr="000A0752" w:rsidRDefault="006250A9" w:rsidP="00582EFE">
      <w:pPr>
        <w:spacing w:after="0" w:line="276" w:lineRule="auto"/>
        <w:ind w:right="-1"/>
        <w:jc w:val="both"/>
        <w:outlineLvl w:val="1"/>
        <w:rPr>
          <w:rFonts w:ascii="Garamond" w:eastAsia="Calibri" w:hAnsi="Garamond" w:cs="Times New Roman"/>
          <w:b/>
          <w:sz w:val="23"/>
          <w:szCs w:val="23"/>
        </w:rPr>
      </w:pPr>
      <w:bookmarkStart w:id="36" w:name="_Toc102136706"/>
      <w:bookmarkStart w:id="37" w:name="_Hlk101636660"/>
      <w:r>
        <w:rPr>
          <w:rFonts w:ascii="Garamond" w:eastAsia="Calibri" w:hAnsi="Garamond" w:cs="Times New Roman"/>
          <w:b/>
          <w:sz w:val="23"/>
          <w:szCs w:val="23"/>
        </w:rPr>
        <w:t>2.4.6</w:t>
      </w:r>
      <w:r w:rsidR="00643B98" w:rsidRPr="006254AC">
        <w:rPr>
          <w:rFonts w:ascii="Garamond" w:eastAsia="Calibri" w:hAnsi="Garamond" w:cs="Times New Roman"/>
          <w:b/>
          <w:sz w:val="23"/>
          <w:szCs w:val="23"/>
        </w:rPr>
        <w:t xml:space="preserve">. PROGETTAZIONE </w:t>
      </w:r>
      <w:r>
        <w:rPr>
          <w:rFonts w:ascii="Garamond" w:eastAsia="Calibri" w:hAnsi="Garamond" w:cs="Times New Roman"/>
          <w:b/>
          <w:sz w:val="23"/>
          <w:szCs w:val="23"/>
        </w:rPr>
        <w:t xml:space="preserve">DI </w:t>
      </w:r>
      <w:r w:rsidR="00643B98" w:rsidRPr="006254AC">
        <w:rPr>
          <w:rFonts w:ascii="Garamond" w:eastAsia="Calibri" w:hAnsi="Garamond" w:cs="Times New Roman"/>
          <w:b/>
          <w:sz w:val="23"/>
          <w:szCs w:val="23"/>
        </w:rPr>
        <w:t>MISURE ORGANIZZATIVE PER IL TRATTAMENTO DEL RISCHIO</w:t>
      </w:r>
      <w:bookmarkEnd w:id="35"/>
      <w:bookmarkEnd w:id="36"/>
    </w:p>
    <w:bookmarkEnd w:id="37"/>
    <w:p w14:paraId="1661177C" w14:textId="5AE51340" w:rsidR="00D40D38" w:rsidRDefault="00D40D38" w:rsidP="00582EFE">
      <w:pPr>
        <w:spacing w:after="0" w:line="276" w:lineRule="auto"/>
        <w:ind w:right="-1"/>
        <w:jc w:val="both"/>
        <w:rPr>
          <w:rFonts w:ascii="Garamond" w:eastAsia="Calibri" w:hAnsi="Garamond" w:cs="Times New Roman"/>
          <w:sz w:val="23"/>
          <w:szCs w:val="23"/>
        </w:rPr>
      </w:pPr>
    </w:p>
    <w:p w14:paraId="3FED666F" w14:textId="77777777" w:rsidR="004A2E26" w:rsidRPr="00D86DC5" w:rsidRDefault="004A2E26" w:rsidP="00582EFE">
      <w:pPr>
        <w:spacing w:after="0" w:line="276" w:lineRule="auto"/>
        <w:ind w:right="-1"/>
        <w:jc w:val="both"/>
        <w:rPr>
          <w:rFonts w:ascii="Garamond" w:eastAsia="Calibri" w:hAnsi="Garamond" w:cs="Times New Roman"/>
          <w:sz w:val="23"/>
          <w:szCs w:val="23"/>
        </w:rPr>
      </w:pPr>
      <w:r w:rsidRPr="00D86DC5">
        <w:rPr>
          <w:rFonts w:ascii="Garamond" w:eastAsia="Calibri" w:hAnsi="Garamond" w:cs="Times New Roman"/>
          <w:sz w:val="23"/>
          <w:szCs w:val="23"/>
        </w:rPr>
        <w:t xml:space="preserve">In relazione alla loro portata, le misure possono definirsi </w:t>
      </w:r>
      <w:r w:rsidRPr="00D86DC5">
        <w:rPr>
          <w:rFonts w:ascii="Garamond" w:eastAsia="Calibri" w:hAnsi="Garamond" w:cs="Times New Roman"/>
          <w:i/>
          <w:iCs/>
          <w:sz w:val="23"/>
          <w:szCs w:val="23"/>
        </w:rPr>
        <w:t>“generali”</w:t>
      </w:r>
      <w:r w:rsidRPr="00D86DC5">
        <w:rPr>
          <w:rFonts w:ascii="Garamond" w:eastAsia="Calibri" w:hAnsi="Garamond" w:cs="Times New Roman"/>
          <w:sz w:val="23"/>
          <w:szCs w:val="23"/>
        </w:rPr>
        <w:t xml:space="preserve"> quando si caratterizzano per la capacità di incidere sul sistema complessivo della prevenzione della corruzione, intervenendo in modo </w:t>
      </w:r>
      <w:r w:rsidRPr="00D86DC5">
        <w:rPr>
          <w:rFonts w:ascii="Garamond" w:eastAsia="Calibri" w:hAnsi="Garamond" w:cs="Times New Roman"/>
          <w:i/>
          <w:iCs/>
          <w:sz w:val="23"/>
          <w:szCs w:val="23"/>
        </w:rPr>
        <w:t>trasversale</w:t>
      </w:r>
      <w:r w:rsidRPr="00D86DC5">
        <w:rPr>
          <w:rFonts w:ascii="Garamond" w:eastAsia="Calibri" w:hAnsi="Garamond" w:cs="Times New Roman"/>
          <w:sz w:val="23"/>
          <w:szCs w:val="23"/>
        </w:rPr>
        <w:t xml:space="preserve"> sull’intera amministrazione o ente; “</w:t>
      </w:r>
      <w:r w:rsidRPr="00D86DC5">
        <w:rPr>
          <w:rFonts w:ascii="Garamond" w:eastAsia="Calibri" w:hAnsi="Garamond" w:cs="Times New Roman"/>
          <w:i/>
          <w:iCs/>
          <w:sz w:val="23"/>
          <w:szCs w:val="23"/>
        </w:rPr>
        <w:t>specifiche”</w:t>
      </w:r>
      <w:r w:rsidRPr="00D86DC5">
        <w:rPr>
          <w:rFonts w:ascii="Garamond" w:eastAsia="Calibri" w:hAnsi="Garamond" w:cs="Times New Roman"/>
          <w:sz w:val="23"/>
          <w:szCs w:val="23"/>
        </w:rPr>
        <w:t xml:space="preserve"> laddove incidono su problemi specifici individuati tramite l’analisi del rischio e, pertanto, devono essere ben contestualizzate rispetto all’amministrazione di riferimento.</w:t>
      </w:r>
    </w:p>
    <w:p w14:paraId="6A40879C" w14:textId="7134D6CF" w:rsidR="00BE7AB0" w:rsidRPr="00BE7AB0" w:rsidRDefault="00BE7AB0" w:rsidP="00582EFE">
      <w:pPr>
        <w:pStyle w:val="Default"/>
        <w:spacing w:line="276" w:lineRule="auto"/>
        <w:ind w:right="-1"/>
        <w:jc w:val="both"/>
        <w:rPr>
          <w:rFonts w:cs="Times New Roman"/>
          <w:sz w:val="23"/>
          <w:szCs w:val="23"/>
        </w:rPr>
      </w:pPr>
      <w:r>
        <w:rPr>
          <w:rFonts w:cs="Times New Roman"/>
          <w:sz w:val="23"/>
          <w:szCs w:val="23"/>
        </w:rPr>
        <w:lastRenderedPageBreak/>
        <w:t>Svolta la mappatura dei processi, così come esposta ne</w:t>
      </w:r>
      <w:r w:rsidRPr="009317CA">
        <w:rPr>
          <w:rFonts w:cs="Times New Roman"/>
          <w:iCs/>
          <w:sz w:val="23"/>
          <w:szCs w:val="23"/>
        </w:rPr>
        <w:t>ll’</w:t>
      </w:r>
      <w:r w:rsidRPr="009317CA">
        <w:rPr>
          <w:rFonts w:cs="Times New Roman"/>
          <w:bCs/>
          <w:i/>
          <w:sz w:val="23"/>
          <w:szCs w:val="23"/>
        </w:rPr>
        <w:t>Allegato A</w:t>
      </w:r>
      <w:r>
        <w:rPr>
          <w:rFonts w:cs="Times New Roman"/>
          <w:sz w:val="23"/>
          <w:szCs w:val="23"/>
        </w:rPr>
        <w:t xml:space="preserve"> della </w:t>
      </w:r>
      <w:r w:rsidRPr="0037078F">
        <w:rPr>
          <w:rFonts w:cs="Times New Roman"/>
          <w:sz w:val="23"/>
          <w:szCs w:val="23"/>
        </w:rPr>
        <w:t>pres</w:t>
      </w:r>
      <w:r>
        <w:rPr>
          <w:rFonts w:cs="Times New Roman"/>
          <w:sz w:val="23"/>
          <w:szCs w:val="23"/>
        </w:rPr>
        <w:t xml:space="preserve">ente </w:t>
      </w:r>
      <w:r w:rsidR="00C156FE" w:rsidRPr="00514EAC">
        <w:rPr>
          <w:rFonts w:cs="Times New Roman"/>
          <w:color w:val="auto"/>
          <w:sz w:val="23"/>
          <w:szCs w:val="23"/>
        </w:rPr>
        <w:t>Sottos</w:t>
      </w:r>
      <w:r w:rsidRPr="00514EAC">
        <w:rPr>
          <w:rFonts w:cs="Times New Roman"/>
          <w:color w:val="auto"/>
          <w:sz w:val="23"/>
          <w:szCs w:val="23"/>
        </w:rPr>
        <w:t>e</w:t>
      </w:r>
      <w:r>
        <w:rPr>
          <w:rFonts w:cs="Times New Roman"/>
          <w:sz w:val="23"/>
          <w:szCs w:val="23"/>
        </w:rPr>
        <w:t xml:space="preserve">zione (articolata per Aree di rischio e aggregata </w:t>
      </w:r>
      <w:r>
        <w:rPr>
          <w:rFonts w:eastAsia="Calibri" w:cs="Times New Roman"/>
          <w:iCs/>
          <w:sz w:val="23"/>
          <w:szCs w:val="23"/>
        </w:rPr>
        <w:t xml:space="preserve">per Dipartimenti/Servizi regionali), distinguendo i medesimi in “Processi Trasversali” (ossia comuni a tutti) </w:t>
      </w:r>
      <w:proofErr w:type="gramStart"/>
      <w:r>
        <w:rPr>
          <w:rFonts w:eastAsia="Calibri" w:cs="Times New Roman"/>
          <w:iCs/>
          <w:sz w:val="23"/>
          <w:szCs w:val="23"/>
        </w:rPr>
        <w:t>e “</w:t>
      </w:r>
      <w:proofErr w:type="gramEnd"/>
      <w:r>
        <w:rPr>
          <w:rFonts w:eastAsia="Calibri" w:cs="Times New Roman"/>
          <w:iCs/>
          <w:sz w:val="23"/>
          <w:szCs w:val="23"/>
        </w:rPr>
        <w:t xml:space="preserve">Processi Specifici” (ossia relativi a determinati Dipartimenti/Servizi regionali), </w:t>
      </w:r>
      <w:r w:rsidR="004A2E26">
        <w:rPr>
          <w:rFonts w:eastAsia="Calibri" w:cs="Times New Roman"/>
          <w:iCs/>
          <w:sz w:val="23"/>
          <w:szCs w:val="23"/>
        </w:rPr>
        <w:t>sono state ivi precisate le Misure organizzative per il trattamento del rischio correlato a ciascun processo</w:t>
      </w:r>
      <w:r>
        <w:rPr>
          <w:rFonts w:eastAsia="Calibri" w:cs="Times New Roman"/>
          <w:iCs/>
          <w:sz w:val="23"/>
          <w:szCs w:val="23"/>
        </w:rPr>
        <w:t>.</w:t>
      </w:r>
    </w:p>
    <w:p w14:paraId="41A856CA" w14:textId="493A066E" w:rsidR="00B92642" w:rsidRDefault="00B92642" w:rsidP="00582EFE">
      <w:pPr>
        <w:spacing w:after="0" w:line="276" w:lineRule="auto"/>
        <w:ind w:right="-1"/>
        <w:jc w:val="both"/>
        <w:rPr>
          <w:rFonts w:ascii="Garamond" w:eastAsia="Calibri" w:hAnsi="Garamond" w:cs="Times New Roman"/>
          <w:sz w:val="23"/>
          <w:szCs w:val="23"/>
        </w:rPr>
      </w:pPr>
      <w:r>
        <w:rPr>
          <w:rFonts w:ascii="Garamond" w:eastAsia="Calibri" w:hAnsi="Garamond" w:cs="Times New Roman"/>
          <w:sz w:val="23"/>
          <w:szCs w:val="23"/>
        </w:rPr>
        <w:t>L’</w:t>
      </w:r>
      <w:r w:rsidRPr="00B92642">
        <w:rPr>
          <w:rFonts w:ascii="Garamond" w:eastAsia="Calibri" w:hAnsi="Garamond" w:cs="Times New Roman"/>
          <w:i/>
          <w:sz w:val="23"/>
          <w:szCs w:val="23"/>
        </w:rPr>
        <w:t>Allegato B</w:t>
      </w:r>
      <w:r>
        <w:rPr>
          <w:rFonts w:ascii="Garamond" w:eastAsia="Calibri" w:hAnsi="Garamond" w:cs="Times New Roman"/>
          <w:sz w:val="23"/>
          <w:szCs w:val="23"/>
        </w:rPr>
        <w:t xml:space="preserve"> “</w:t>
      </w:r>
      <w:r w:rsidRPr="00B92642">
        <w:rPr>
          <w:rFonts w:ascii="Garamond" w:eastAsia="Calibri" w:hAnsi="Garamond" w:cs="Times New Roman"/>
          <w:i/>
          <w:sz w:val="23"/>
          <w:szCs w:val="23"/>
        </w:rPr>
        <w:t>Misure Generali di Prevenzione della Corruzione a carico di tutte le strutture regionali</w:t>
      </w:r>
      <w:r>
        <w:rPr>
          <w:rFonts w:ascii="Garamond" w:eastAsia="Calibri" w:hAnsi="Garamond" w:cs="Times New Roman"/>
          <w:sz w:val="23"/>
          <w:szCs w:val="23"/>
        </w:rPr>
        <w:t xml:space="preserve">” della presente </w:t>
      </w:r>
      <w:r w:rsidR="002F0277" w:rsidRPr="00514EAC">
        <w:rPr>
          <w:rFonts w:ascii="Garamond" w:eastAsia="Calibri" w:hAnsi="Garamond" w:cs="Times New Roman"/>
          <w:sz w:val="23"/>
          <w:szCs w:val="23"/>
        </w:rPr>
        <w:t>Sottos</w:t>
      </w:r>
      <w:r w:rsidR="002F0277" w:rsidRPr="002F0277">
        <w:rPr>
          <w:rFonts w:ascii="Garamond" w:eastAsia="Calibri" w:hAnsi="Garamond" w:cs="Times New Roman"/>
          <w:sz w:val="23"/>
          <w:szCs w:val="23"/>
        </w:rPr>
        <w:t>ezione</w:t>
      </w:r>
      <w:r w:rsidR="00825BE8">
        <w:rPr>
          <w:rFonts w:ascii="Garamond" w:eastAsia="Calibri" w:hAnsi="Garamond" w:cs="Times New Roman"/>
          <w:sz w:val="23"/>
          <w:szCs w:val="23"/>
        </w:rPr>
        <w:t>, alla cui lettura si rimanda,</w:t>
      </w:r>
      <w:r>
        <w:rPr>
          <w:rFonts w:ascii="Garamond" w:eastAsia="Calibri" w:hAnsi="Garamond" w:cs="Times New Roman"/>
          <w:sz w:val="23"/>
          <w:szCs w:val="23"/>
        </w:rPr>
        <w:t xml:space="preserve"> reca le </w:t>
      </w:r>
      <w:r w:rsidR="007A57AE" w:rsidRPr="00D86DC5">
        <w:rPr>
          <w:rFonts w:ascii="Garamond" w:eastAsia="Calibri" w:hAnsi="Garamond" w:cs="Times New Roman"/>
          <w:i/>
          <w:iCs/>
          <w:sz w:val="23"/>
          <w:szCs w:val="23"/>
        </w:rPr>
        <w:t>Misure Generali</w:t>
      </w:r>
      <w:r w:rsidR="007A57AE" w:rsidRPr="00D86DC5">
        <w:rPr>
          <w:rFonts w:ascii="Garamond" w:eastAsia="Calibri" w:hAnsi="Garamond" w:cs="Times New Roman"/>
          <w:sz w:val="23"/>
          <w:szCs w:val="23"/>
        </w:rPr>
        <w:t xml:space="preserve"> </w:t>
      </w:r>
      <w:r>
        <w:rPr>
          <w:rFonts w:ascii="Garamond" w:eastAsia="Calibri" w:hAnsi="Garamond" w:cs="Times New Roman"/>
          <w:sz w:val="23"/>
          <w:szCs w:val="23"/>
        </w:rPr>
        <w:t>poste a presidio di procedimenti svolti da tutti gli uffici regionali.</w:t>
      </w:r>
    </w:p>
    <w:p w14:paraId="50BAAB13" w14:textId="384A7094" w:rsidR="00B92642" w:rsidRDefault="00B92642" w:rsidP="00582EFE">
      <w:pPr>
        <w:spacing w:after="0" w:line="276" w:lineRule="auto"/>
        <w:ind w:right="-1"/>
        <w:jc w:val="both"/>
        <w:rPr>
          <w:rFonts w:ascii="Garamond" w:eastAsia="Calibri" w:hAnsi="Garamond" w:cs="Times New Roman"/>
          <w:sz w:val="23"/>
          <w:szCs w:val="23"/>
        </w:rPr>
      </w:pPr>
      <w:r>
        <w:rPr>
          <w:rFonts w:ascii="Garamond" w:eastAsia="Calibri" w:hAnsi="Garamond" w:cs="Times New Roman"/>
          <w:sz w:val="23"/>
          <w:szCs w:val="23"/>
        </w:rPr>
        <w:t>Le misure organizzative</w:t>
      </w:r>
      <w:r w:rsidR="00B76478">
        <w:rPr>
          <w:rFonts w:ascii="Garamond" w:eastAsia="Calibri" w:hAnsi="Garamond" w:cs="Times New Roman"/>
          <w:sz w:val="23"/>
          <w:szCs w:val="23"/>
        </w:rPr>
        <w:t xml:space="preserve"> esplicitate nei citati </w:t>
      </w:r>
      <w:r w:rsidR="00B76478" w:rsidRPr="00B76478">
        <w:rPr>
          <w:rFonts w:ascii="Garamond" w:eastAsia="Calibri" w:hAnsi="Garamond" w:cs="Times New Roman"/>
          <w:i/>
          <w:sz w:val="23"/>
          <w:szCs w:val="23"/>
        </w:rPr>
        <w:t>Allegati A e B</w:t>
      </w:r>
      <w:r>
        <w:rPr>
          <w:rFonts w:ascii="Garamond" w:eastAsia="Calibri" w:hAnsi="Garamond" w:cs="Times New Roman"/>
          <w:sz w:val="23"/>
          <w:szCs w:val="23"/>
        </w:rPr>
        <w:t xml:space="preserve"> sono state progettate tenendo conto delle fasi di cui consta ciascun processo e hanno tenuto conto del livello di rischio attribuito.</w:t>
      </w:r>
    </w:p>
    <w:p w14:paraId="1ACDC219" w14:textId="578E97CF" w:rsidR="00B76478" w:rsidRDefault="00B76478" w:rsidP="00582EFE">
      <w:pPr>
        <w:spacing w:after="0" w:line="276" w:lineRule="auto"/>
        <w:ind w:right="-1"/>
        <w:jc w:val="both"/>
        <w:rPr>
          <w:rFonts w:ascii="Garamond" w:eastAsia="Calibri" w:hAnsi="Garamond" w:cs="Times New Roman"/>
          <w:sz w:val="23"/>
          <w:szCs w:val="23"/>
        </w:rPr>
      </w:pPr>
      <w:r>
        <w:rPr>
          <w:rFonts w:ascii="Garamond" w:eastAsia="Calibri" w:hAnsi="Garamond" w:cs="Times New Roman"/>
          <w:sz w:val="23"/>
          <w:szCs w:val="23"/>
        </w:rPr>
        <w:t>Ulteriori e fondamentali misure organizzative poste a presidio della prevenzione del rischio corruttivo sono rappresentate dagli obblighi di trasparenza dei quali si dirà più avanti e che sono esplicitati nell’</w:t>
      </w:r>
      <w:r w:rsidRPr="00B76478">
        <w:rPr>
          <w:rFonts w:ascii="Garamond" w:eastAsia="Calibri" w:hAnsi="Garamond" w:cs="Times New Roman"/>
          <w:i/>
          <w:sz w:val="23"/>
          <w:szCs w:val="23"/>
        </w:rPr>
        <w:t>Allegato C</w:t>
      </w:r>
      <w:r>
        <w:rPr>
          <w:rFonts w:ascii="Garamond" w:eastAsia="Calibri" w:hAnsi="Garamond" w:cs="Times New Roman"/>
          <w:sz w:val="23"/>
          <w:szCs w:val="23"/>
        </w:rPr>
        <w:t xml:space="preserve"> della presente </w:t>
      </w:r>
      <w:r w:rsidR="002F0277" w:rsidRPr="00514EAC">
        <w:rPr>
          <w:rFonts w:ascii="Garamond" w:eastAsia="Calibri" w:hAnsi="Garamond" w:cs="Times New Roman"/>
          <w:sz w:val="23"/>
          <w:szCs w:val="23"/>
        </w:rPr>
        <w:t>Sottose</w:t>
      </w:r>
      <w:r w:rsidR="002F0277" w:rsidRPr="002F0277">
        <w:rPr>
          <w:rFonts w:ascii="Garamond" w:eastAsia="Calibri" w:hAnsi="Garamond" w:cs="Times New Roman"/>
          <w:sz w:val="23"/>
          <w:szCs w:val="23"/>
        </w:rPr>
        <w:t>zione</w:t>
      </w:r>
      <w:r>
        <w:rPr>
          <w:rFonts w:ascii="Garamond" w:eastAsia="Calibri" w:hAnsi="Garamond" w:cs="Times New Roman"/>
          <w:sz w:val="23"/>
          <w:szCs w:val="23"/>
        </w:rPr>
        <w:t>.</w:t>
      </w:r>
    </w:p>
    <w:p w14:paraId="220EE459" w14:textId="6A9D47BB" w:rsidR="00BD472D" w:rsidRDefault="003B5022" w:rsidP="00582EFE">
      <w:pPr>
        <w:spacing w:after="0" w:line="276" w:lineRule="auto"/>
        <w:ind w:right="-1"/>
        <w:jc w:val="both"/>
        <w:rPr>
          <w:rFonts w:ascii="Garamond" w:eastAsia="Calibri" w:hAnsi="Garamond" w:cs="Times New Roman"/>
          <w:sz w:val="23"/>
          <w:szCs w:val="23"/>
        </w:rPr>
      </w:pPr>
      <w:r>
        <w:rPr>
          <w:rFonts w:ascii="Garamond" w:eastAsia="Calibri" w:hAnsi="Garamond" w:cs="Times New Roman"/>
          <w:sz w:val="23"/>
          <w:szCs w:val="23"/>
        </w:rPr>
        <w:t>S</w:t>
      </w:r>
      <w:r w:rsidR="00D37862">
        <w:rPr>
          <w:rFonts w:ascii="Garamond" w:eastAsia="Calibri" w:hAnsi="Garamond" w:cs="Times New Roman"/>
          <w:sz w:val="23"/>
          <w:szCs w:val="23"/>
        </w:rPr>
        <w:t xml:space="preserve">i </w:t>
      </w:r>
      <w:r>
        <w:rPr>
          <w:rFonts w:ascii="Garamond" w:eastAsia="Calibri" w:hAnsi="Garamond" w:cs="Times New Roman"/>
          <w:sz w:val="23"/>
          <w:szCs w:val="23"/>
        </w:rPr>
        <w:t>illustrano di seguito talune</w:t>
      </w:r>
      <w:r w:rsidR="001344A2">
        <w:rPr>
          <w:rFonts w:ascii="Garamond" w:eastAsia="Calibri" w:hAnsi="Garamond" w:cs="Times New Roman"/>
          <w:sz w:val="23"/>
          <w:szCs w:val="23"/>
        </w:rPr>
        <w:t xml:space="preserve"> </w:t>
      </w:r>
      <w:r>
        <w:rPr>
          <w:rFonts w:ascii="Garamond" w:eastAsia="Calibri" w:hAnsi="Garamond" w:cs="Times New Roman"/>
          <w:sz w:val="23"/>
          <w:szCs w:val="23"/>
        </w:rPr>
        <w:t>misure di</w:t>
      </w:r>
      <w:r w:rsidR="001344A2">
        <w:rPr>
          <w:rFonts w:ascii="Garamond" w:eastAsia="Calibri" w:hAnsi="Garamond" w:cs="Times New Roman"/>
          <w:sz w:val="23"/>
          <w:szCs w:val="23"/>
        </w:rPr>
        <w:t xml:space="preserve"> particolare </w:t>
      </w:r>
      <w:r>
        <w:rPr>
          <w:rFonts w:ascii="Garamond" w:eastAsia="Calibri" w:hAnsi="Garamond" w:cs="Times New Roman"/>
          <w:sz w:val="23"/>
          <w:szCs w:val="23"/>
        </w:rPr>
        <w:t>rilievo:</w:t>
      </w:r>
    </w:p>
    <w:p w14:paraId="2ED5CDEA" w14:textId="77777777" w:rsidR="00C377D6" w:rsidRDefault="00C377D6" w:rsidP="00582EFE">
      <w:pPr>
        <w:spacing w:after="0" w:line="276" w:lineRule="auto"/>
        <w:ind w:right="-1"/>
        <w:jc w:val="both"/>
        <w:rPr>
          <w:rFonts w:ascii="Garamond" w:eastAsia="Calibri" w:hAnsi="Garamond" w:cs="Times New Roman"/>
          <w:sz w:val="23"/>
          <w:szCs w:val="23"/>
        </w:rPr>
      </w:pPr>
    </w:p>
    <w:p w14:paraId="5680DCB7" w14:textId="77777777" w:rsidR="00853253" w:rsidRPr="00926B2D" w:rsidRDefault="00853253" w:rsidP="00853253">
      <w:pPr>
        <w:spacing w:after="0" w:line="276" w:lineRule="auto"/>
        <w:ind w:right="-1"/>
        <w:jc w:val="both"/>
        <w:rPr>
          <w:rFonts w:ascii="Garamond" w:hAnsi="Garamond" w:cs="Times New Roman"/>
          <w:b/>
          <w:i/>
          <w:sz w:val="23"/>
          <w:szCs w:val="23"/>
        </w:rPr>
      </w:pPr>
      <w:bookmarkStart w:id="38" w:name="_Toc43329230"/>
      <w:bookmarkStart w:id="39" w:name="_Hlk101637580"/>
      <w:r>
        <w:rPr>
          <w:rFonts w:ascii="Garamond" w:hAnsi="Garamond" w:cs="Times New Roman"/>
          <w:b/>
          <w:i/>
          <w:sz w:val="23"/>
          <w:szCs w:val="23"/>
        </w:rPr>
        <w:t>M</w:t>
      </w:r>
      <w:r w:rsidRPr="00926B2D">
        <w:rPr>
          <w:rFonts w:ascii="Garamond" w:hAnsi="Garamond" w:cs="Times New Roman"/>
          <w:b/>
          <w:i/>
          <w:sz w:val="23"/>
          <w:szCs w:val="23"/>
        </w:rPr>
        <w:t>onitoraggio dei tempi procedimentali</w:t>
      </w:r>
      <w:bookmarkEnd w:id="38"/>
      <w:r>
        <w:rPr>
          <w:rFonts w:ascii="Garamond" w:hAnsi="Garamond" w:cs="Times New Roman"/>
          <w:b/>
          <w:i/>
          <w:sz w:val="23"/>
          <w:szCs w:val="23"/>
        </w:rPr>
        <w:t xml:space="preserve"> (Allegato B - MG/1)</w:t>
      </w:r>
    </w:p>
    <w:bookmarkEnd w:id="39"/>
    <w:p w14:paraId="28A04A4C" w14:textId="77777777" w:rsidR="00853253" w:rsidRPr="00D86DC5" w:rsidRDefault="00853253" w:rsidP="00853253">
      <w:pPr>
        <w:tabs>
          <w:tab w:val="left" w:pos="9354"/>
        </w:tabs>
        <w:autoSpaceDE w:val="0"/>
        <w:autoSpaceDN w:val="0"/>
        <w:adjustRightInd w:val="0"/>
        <w:spacing w:after="0" w:line="276" w:lineRule="auto"/>
        <w:ind w:right="-1"/>
        <w:jc w:val="both"/>
        <w:rPr>
          <w:rFonts w:ascii="Garamond" w:hAnsi="Garamond" w:cs="Times New Roman"/>
          <w:i/>
          <w:iCs/>
          <w:sz w:val="23"/>
          <w:szCs w:val="23"/>
        </w:rPr>
      </w:pPr>
      <w:r w:rsidRPr="00D86DC5">
        <w:rPr>
          <w:rFonts w:ascii="Garamond" w:hAnsi="Garamond" w:cs="Times New Roman"/>
          <w:sz w:val="23"/>
          <w:szCs w:val="23"/>
        </w:rPr>
        <w:t xml:space="preserve">Il monitoraggio periodico dei tempi procedimentali è un obbligo contenuto nell’art. 1, co. 28, della Legge n. 190/2012 ai sensi del quale </w:t>
      </w:r>
      <w:r w:rsidRPr="00D86DC5">
        <w:rPr>
          <w:rFonts w:ascii="Garamond" w:hAnsi="Garamond" w:cs="Times New Roman"/>
          <w:i/>
          <w:iCs/>
          <w:sz w:val="23"/>
          <w:szCs w:val="23"/>
        </w:rPr>
        <w:t xml:space="preserve">“Le amministrazioni provvedono altresì al monitoraggio periodico del rispetto dei tempi procedimentali attraverso la tempestiva eliminazione delle anomalie. I risultati del monitoraggio sono consultabili nel sito web istituzionale di ciascuna amministrazione”. </w:t>
      </w:r>
    </w:p>
    <w:p w14:paraId="284F1C14" w14:textId="77777777" w:rsidR="00853253" w:rsidRPr="00D86DC5" w:rsidRDefault="00853253" w:rsidP="00853253">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sz w:val="23"/>
          <w:szCs w:val="23"/>
        </w:rPr>
        <w:t>Il precedente</w:t>
      </w:r>
      <w:r w:rsidRPr="00D86DC5">
        <w:rPr>
          <w:rFonts w:ascii="Garamond" w:hAnsi="Garamond" w:cs="Times New Roman"/>
          <w:i/>
          <w:iCs/>
          <w:sz w:val="23"/>
          <w:szCs w:val="23"/>
        </w:rPr>
        <w:t xml:space="preserve"> </w:t>
      </w:r>
      <w:r w:rsidRPr="00D86DC5">
        <w:rPr>
          <w:rFonts w:ascii="Garamond" w:hAnsi="Garamond" w:cs="Times New Roman"/>
          <w:sz w:val="23"/>
          <w:szCs w:val="23"/>
        </w:rPr>
        <w:t xml:space="preserve">comma 9 </w:t>
      </w:r>
      <w:proofErr w:type="spellStart"/>
      <w:r w:rsidRPr="00D86DC5">
        <w:rPr>
          <w:rFonts w:ascii="Garamond" w:hAnsi="Garamond" w:cs="Times New Roman"/>
          <w:sz w:val="23"/>
          <w:szCs w:val="23"/>
        </w:rPr>
        <w:t>lett</w:t>
      </w:r>
      <w:proofErr w:type="spellEnd"/>
      <w:r w:rsidRPr="00D86DC5">
        <w:rPr>
          <w:rFonts w:ascii="Garamond" w:hAnsi="Garamond" w:cs="Times New Roman"/>
          <w:sz w:val="23"/>
          <w:szCs w:val="23"/>
        </w:rPr>
        <w:t>. d) stabilisce: “</w:t>
      </w:r>
      <w:r w:rsidRPr="00D86DC5">
        <w:rPr>
          <w:rFonts w:ascii="Garamond" w:hAnsi="Garamond" w:cs="Times New Roman"/>
          <w:i/>
          <w:iCs/>
          <w:sz w:val="23"/>
          <w:szCs w:val="23"/>
        </w:rPr>
        <w:t>Il piano di cui al comma 5 risponde alle seguenti esigenze: (</w:t>
      </w:r>
      <w:proofErr w:type="gramStart"/>
      <w:r w:rsidRPr="00D86DC5">
        <w:rPr>
          <w:rFonts w:ascii="Garamond" w:hAnsi="Garamond" w:cs="Times New Roman"/>
          <w:i/>
          <w:iCs/>
          <w:sz w:val="23"/>
          <w:szCs w:val="23"/>
        </w:rPr>
        <w:t>…….</w:t>
      </w:r>
      <w:proofErr w:type="gramEnd"/>
      <w:r w:rsidRPr="00D86DC5">
        <w:rPr>
          <w:rFonts w:ascii="Garamond" w:hAnsi="Garamond" w:cs="Times New Roman"/>
          <w:i/>
          <w:iCs/>
          <w:sz w:val="23"/>
          <w:szCs w:val="23"/>
        </w:rPr>
        <w:t>) d)  definire  le  modalit</w:t>
      </w:r>
      <w:r>
        <w:rPr>
          <w:rFonts w:ascii="Garamond" w:hAnsi="Garamond" w:cs="Times New Roman"/>
          <w:i/>
          <w:iCs/>
          <w:sz w:val="23"/>
          <w:szCs w:val="23"/>
        </w:rPr>
        <w:t>à</w:t>
      </w:r>
      <w:r w:rsidRPr="00D86DC5">
        <w:rPr>
          <w:rFonts w:ascii="Garamond" w:hAnsi="Garamond" w:cs="Times New Roman"/>
          <w:i/>
          <w:iCs/>
          <w:sz w:val="23"/>
          <w:szCs w:val="23"/>
        </w:rPr>
        <w:t xml:space="preserve">  di  monitoraggio  del  rispetto  dei termini, previsti dalla legge o dai regolamenti, per  la  conclusione dei procedimenti”.</w:t>
      </w:r>
    </w:p>
    <w:p w14:paraId="7DF4F644" w14:textId="77777777" w:rsidR="00853253" w:rsidRPr="00D86DC5" w:rsidRDefault="00853253" w:rsidP="00853253">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Il mancato rispetto dei termini di conclusione del procedimento è, dunque, considerato come sintomatico di un possibile </w:t>
      </w:r>
      <w:r w:rsidRPr="00D86DC5">
        <w:rPr>
          <w:rFonts w:ascii="Garamond" w:hAnsi="Garamond" w:cs="Times New Roman"/>
          <w:i/>
          <w:iCs/>
          <w:sz w:val="23"/>
          <w:szCs w:val="23"/>
        </w:rPr>
        <w:t>malfunzionamento</w:t>
      </w:r>
      <w:r w:rsidRPr="00D86DC5">
        <w:rPr>
          <w:rFonts w:ascii="Garamond" w:hAnsi="Garamond" w:cs="Times New Roman"/>
          <w:sz w:val="23"/>
          <w:szCs w:val="23"/>
        </w:rPr>
        <w:t xml:space="preserve"> dell’attività amministrativa e, pertanto, richiede che venga adeguatamente monitorato e valutato anche per individuare le idonee misure correttive di carattere normativo, organizzativo o amministrativo. </w:t>
      </w:r>
    </w:p>
    <w:p w14:paraId="39988816" w14:textId="2045842C" w:rsidR="00853253" w:rsidRDefault="00853253" w:rsidP="00853253">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Con il presente </w:t>
      </w:r>
      <w:r w:rsidRPr="001344A2">
        <w:rPr>
          <w:rFonts w:ascii="Garamond" w:hAnsi="Garamond" w:cs="Times New Roman"/>
          <w:sz w:val="23"/>
          <w:szCs w:val="23"/>
        </w:rPr>
        <w:t>Piano</w:t>
      </w:r>
      <w:r w:rsidRPr="00D86DC5">
        <w:rPr>
          <w:rFonts w:ascii="Garamond" w:hAnsi="Garamond" w:cs="Times New Roman"/>
          <w:sz w:val="23"/>
          <w:szCs w:val="23"/>
        </w:rPr>
        <w:t xml:space="preserve"> il monitoraggio dei tempi procedimentali è</w:t>
      </w:r>
      <w:r>
        <w:rPr>
          <w:rFonts w:ascii="Garamond" w:hAnsi="Garamond" w:cs="Times New Roman"/>
          <w:sz w:val="23"/>
          <w:szCs w:val="23"/>
        </w:rPr>
        <w:t>,</w:t>
      </w:r>
      <w:r w:rsidRPr="00D86DC5">
        <w:rPr>
          <w:rFonts w:ascii="Garamond" w:hAnsi="Garamond" w:cs="Times New Roman"/>
          <w:sz w:val="23"/>
          <w:szCs w:val="23"/>
        </w:rPr>
        <w:t xml:space="preserve"> dunque, improntato all’acquisizione sistematica di report, attraverso il modello </w:t>
      </w:r>
      <w:r w:rsidRPr="002C7116">
        <w:rPr>
          <w:rFonts w:ascii="Garamond" w:hAnsi="Garamond" w:cs="Times New Roman"/>
          <w:i/>
          <w:sz w:val="23"/>
          <w:szCs w:val="23"/>
        </w:rPr>
        <w:t>Allegato E</w:t>
      </w:r>
      <w:r w:rsidRPr="00D86DC5">
        <w:rPr>
          <w:rFonts w:ascii="Garamond" w:hAnsi="Garamond" w:cs="Times New Roman"/>
          <w:sz w:val="23"/>
          <w:szCs w:val="23"/>
        </w:rPr>
        <w:t xml:space="preserve"> al presente Piano, ai fini della ricognizione annuale del RPCT.</w:t>
      </w:r>
    </w:p>
    <w:p w14:paraId="25EC3E57" w14:textId="77777777" w:rsidR="00C377D6" w:rsidRDefault="00C377D6" w:rsidP="00853253">
      <w:pPr>
        <w:tabs>
          <w:tab w:val="left" w:pos="9354"/>
        </w:tabs>
        <w:autoSpaceDE w:val="0"/>
        <w:autoSpaceDN w:val="0"/>
        <w:adjustRightInd w:val="0"/>
        <w:spacing w:after="0" w:line="276" w:lineRule="auto"/>
        <w:ind w:right="-1"/>
        <w:jc w:val="both"/>
        <w:rPr>
          <w:rFonts w:ascii="Garamond" w:hAnsi="Garamond" w:cs="Times New Roman"/>
          <w:sz w:val="23"/>
          <w:szCs w:val="23"/>
        </w:rPr>
      </w:pPr>
    </w:p>
    <w:p w14:paraId="31DB23CA" w14:textId="00805B49" w:rsidR="007A57AE" w:rsidRPr="00926B2D" w:rsidRDefault="007A57AE" w:rsidP="00582EFE">
      <w:pPr>
        <w:spacing w:after="0" w:line="276" w:lineRule="auto"/>
        <w:ind w:right="-1"/>
        <w:jc w:val="both"/>
        <w:rPr>
          <w:rFonts w:ascii="Garamond" w:hAnsi="Garamond" w:cs="Times New Roman"/>
          <w:b/>
          <w:i/>
          <w:sz w:val="23"/>
          <w:szCs w:val="23"/>
        </w:rPr>
      </w:pPr>
      <w:bookmarkStart w:id="40" w:name="_Toc43329222"/>
      <w:bookmarkStart w:id="41" w:name="_Hlk101637203"/>
      <w:r w:rsidRPr="00926B2D">
        <w:rPr>
          <w:rFonts w:ascii="Garamond" w:hAnsi="Garamond" w:cs="Times New Roman"/>
          <w:b/>
          <w:i/>
          <w:sz w:val="23"/>
          <w:szCs w:val="23"/>
        </w:rPr>
        <w:t>Codice di Comportamento</w:t>
      </w:r>
      <w:bookmarkEnd w:id="40"/>
      <w:r w:rsidR="00542739">
        <w:rPr>
          <w:rFonts w:ascii="Garamond" w:hAnsi="Garamond" w:cs="Times New Roman"/>
          <w:b/>
          <w:i/>
          <w:sz w:val="23"/>
          <w:szCs w:val="23"/>
        </w:rPr>
        <w:t xml:space="preserve"> (</w:t>
      </w:r>
      <w:r w:rsidR="003B5022">
        <w:rPr>
          <w:rFonts w:ascii="Garamond" w:hAnsi="Garamond" w:cs="Times New Roman"/>
          <w:b/>
          <w:i/>
          <w:sz w:val="23"/>
          <w:szCs w:val="23"/>
        </w:rPr>
        <w:t xml:space="preserve">Allegato B - </w:t>
      </w:r>
      <w:r w:rsidR="00542739">
        <w:rPr>
          <w:rFonts w:ascii="Garamond" w:hAnsi="Garamond" w:cs="Times New Roman"/>
          <w:b/>
          <w:i/>
          <w:sz w:val="23"/>
          <w:szCs w:val="23"/>
        </w:rPr>
        <w:t>MG/2)</w:t>
      </w:r>
    </w:p>
    <w:bookmarkEnd w:id="41"/>
    <w:p w14:paraId="69760EF1" w14:textId="4053AF2D" w:rsidR="007A57AE" w:rsidRPr="00D86DC5" w:rsidRDefault="009F19D0" w:rsidP="00582EFE">
      <w:pPr>
        <w:spacing w:after="0" w:line="276" w:lineRule="auto"/>
        <w:ind w:right="-1"/>
        <w:jc w:val="both"/>
        <w:rPr>
          <w:rFonts w:ascii="Garamond" w:hAnsi="Garamond" w:cs="Times New Roman"/>
          <w:i/>
          <w:iCs/>
          <w:sz w:val="23"/>
          <w:szCs w:val="23"/>
        </w:rPr>
      </w:pPr>
      <w:r>
        <w:rPr>
          <w:rFonts w:ascii="Garamond" w:hAnsi="Garamond" w:cs="Times New Roman"/>
          <w:sz w:val="23"/>
          <w:szCs w:val="23"/>
        </w:rPr>
        <w:t xml:space="preserve">Mentre </w:t>
      </w:r>
      <w:r w:rsidRPr="00D86DC5">
        <w:rPr>
          <w:rFonts w:ascii="Garamond" w:hAnsi="Garamond" w:cs="Times New Roman"/>
          <w:sz w:val="23"/>
          <w:szCs w:val="23"/>
        </w:rPr>
        <w:t>i Codici “etici”, “deontologici” o comunque denominati</w:t>
      </w:r>
      <w:r>
        <w:rPr>
          <w:rFonts w:ascii="Garamond" w:hAnsi="Garamond" w:cs="Times New Roman"/>
          <w:sz w:val="23"/>
          <w:szCs w:val="23"/>
        </w:rPr>
        <w:t>,</w:t>
      </w:r>
      <w:r w:rsidRPr="00D86DC5">
        <w:rPr>
          <w:rFonts w:ascii="Garamond" w:hAnsi="Garamond" w:cs="Times New Roman"/>
          <w:sz w:val="23"/>
          <w:szCs w:val="23"/>
        </w:rPr>
        <w:t xml:space="preserve"> hanno </w:t>
      </w:r>
      <w:r>
        <w:rPr>
          <w:rFonts w:ascii="Garamond" w:hAnsi="Garamond" w:cs="Times New Roman"/>
          <w:sz w:val="23"/>
          <w:szCs w:val="23"/>
        </w:rPr>
        <w:t>portata</w:t>
      </w:r>
      <w:r w:rsidRPr="00D86DC5">
        <w:rPr>
          <w:rFonts w:ascii="Garamond" w:hAnsi="Garamond" w:cs="Times New Roman"/>
          <w:sz w:val="23"/>
          <w:szCs w:val="23"/>
        </w:rPr>
        <w:t xml:space="preserve"> “valoriale”</w:t>
      </w:r>
      <w:r>
        <w:rPr>
          <w:rFonts w:ascii="Garamond" w:hAnsi="Garamond" w:cs="Times New Roman"/>
          <w:sz w:val="23"/>
          <w:szCs w:val="23"/>
        </w:rPr>
        <w:t>,</w:t>
      </w:r>
      <w:r w:rsidRPr="00D86DC5">
        <w:rPr>
          <w:rFonts w:ascii="Garamond" w:hAnsi="Garamond" w:cs="Times New Roman"/>
          <w:sz w:val="23"/>
          <w:szCs w:val="23"/>
        </w:rPr>
        <w:t xml:space="preserve"> </w:t>
      </w:r>
      <w:r>
        <w:rPr>
          <w:rFonts w:ascii="Garamond" w:hAnsi="Garamond" w:cs="Times New Roman"/>
          <w:sz w:val="23"/>
          <w:szCs w:val="23"/>
        </w:rPr>
        <w:t>il Codice di Comportamento</w:t>
      </w:r>
      <w:r w:rsidR="007A57AE" w:rsidRPr="00D86DC5">
        <w:rPr>
          <w:rFonts w:ascii="Garamond" w:hAnsi="Garamond" w:cs="Times New Roman"/>
          <w:sz w:val="23"/>
          <w:szCs w:val="23"/>
        </w:rPr>
        <w:t xml:space="preserve"> fissa doveri di comportamento aventi una rilevanza giuridica che prescinde dalla personale adesione, di tipo morale, del funzionario ovvero dalla sua personale convinzione sulla bontà del dovere. Le </w:t>
      </w:r>
      <w:r>
        <w:rPr>
          <w:rFonts w:ascii="Garamond" w:hAnsi="Garamond" w:cs="Times New Roman"/>
          <w:sz w:val="23"/>
          <w:szCs w:val="23"/>
        </w:rPr>
        <w:t>disposizioni in esso contenute</w:t>
      </w:r>
      <w:r w:rsidR="007A57AE" w:rsidRPr="00D86DC5">
        <w:rPr>
          <w:rFonts w:ascii="Garamond" w:hAnsi="Garamond" w:cs="Times New Roman"/>
          <w:sz w:val="23"/>
          <w:szCs w:val="23"/>
        </w:rPr>
        <w:t xml:space="preserve"> </w:t>
      </w:r>
      <w:r>
        <w:rPr>
          <w:rFonts w:ascii="Garamond" w:hAnsi="Garamond" w:cs="Times New Roman"/>
          <w:sz w:val="23"/>
          <w:szCs w:val="23"/>
        </w:rPr>
        <w:t>costituiscono obblighi giuridici</w:t>
      </w:r>
      <w:r w:rsidR="007A57AE" w:rsidRPr="00D86DC5">
        <w:rPr>
          <w:rFonts w:ascii="Garamond" w:hAnsi="Garamond" w:cs="Times New Roman"/>
          <w:sz w:val="23"/>
          <w:szCs w:val="23"/>
        </w:rPr>
        <w:t xml:space="preserve"> </w:t>
      </w:r>
      <w:r>
        <w:rPr>
          <w:rFonts w:ascii="Garamond" w:hAnsi="Garamond" w:cs="Times New Roman"/>
          <w:sz w:val="23"/>
          <w:szCs w:val="23"/>
        </w:rPr>
        <w:t xml:space="preserve">la cui violazione è sanzionata </w:t>
      </w:r>
      <w:r w:rsidR="007A57AE" w:rsidRPr="00D86DC5">
        <w:rPr>
          <w:rFonts w:ascii="Garamond" w:hAnsi="Garamond" w:cs="Times New Roman"/>
          <w:sz w:val="23"/>
          <w:szCs w:val="23"/>
        </w:rPr>
        <w:t xml:space="preserve">dall’art. 54, co. 3 del </w:t>
      </w:r>
      <w:proofErr w:type="spellStart"/>
      <w:proofErr w:type="gramStart"/>
      <w:r w:rsidR="007A57AE" w:rsidRPr="00D86DC5">
        <w:rPr>
          <w:rFonts w:ascii="Garamond" w:hAnsi="Garamond" w:cs="Times New Roman"/>
          <w:sz w:val="23"/>
          <w:szCs w:val="23"/>
        </w:rPr>
        <w:t>D.Lgs</w:t>
      </w:r>
      <w:proofErr w:type="gramEnd"/>
      <w:r w:rsidR="007A57AE" w:rsidRPr="00D86DC5">
        <w:rPr>
          <w:rFonts w:ascii="Garamond" w:hAnsi="Garamond" w:cs="Times New Roman"/>
          <w:sz w:val="23"/>
          <w:szCs w:val="23"/>
        </w:rPr>
        <w:t>.</w:t>
      </w:r>
      <w:proofErr w:type="spellEnd"/>
      <w:r w:rsidR="007A57AE" w:rsidRPr="00D86DC5">
        <w:rPr>
          <w:rFonts w:ascii="Garamond" w:hAnsi="Garamond" w:cs="Times New Roman"/>
          <w:sz w:val="23"/>
          <w:szCs w:val="23"/>
        </w:rPr>
        <w:t xml:space="preserve"> 165/2001, secondo cui: </w:t>
      </w:r>
      <w:r w:rsidR="007A57AE" w:rsidRPr="00D86DC5">
        <w:rPr>
          <w:rFonts w:ascii="Garamond" w:hAnsi="Garamond" w:cs="Times New Roman"/>
          <w:i/>
          <w:iCs/>
          <w:sz w:val="23"/>
          <w:szCs w:val="23"/>
        </w:rPr>
        <w:t xml:space="preserve">“La violazione dei doveri contenuti nel codice di comportamento, compresi quelli relativi all’attuazione del Piano di prevenzione della corruzione è fonte di responsabilità disciplinare. La violazione dei doveri è, altresì, rilevante ai fini della responsabilità civile, amministrativa e contabile ogniqualvolta le stesse responsabilità siano collegate alla violazione di doveri, obblighi, leggi o regolamenti. Violazioni gravi o reiterate del codice comportano l’applicazione della sanzione di cui all’articolo 55-quater, comma 1” (Licenziamento disciplinare). </w:t>
      </w:r>
    </w:p>
    <w:p w14:paraId="1142A94E" w14:textId="77777777" w:rsidR="009F19D0" w:rsidRDefault="00EF139A" w:rsidP="00582EFE">
      <w:pPr>
        <w:spacing w:after="0" w:line="276" w:lineRule="auto"/>
        <w:ind w:right="-1"/>
        <w:jc w:val="both"/>
        <w:rPr>
          <w:rFonts w:ascii="Garamond" w:hAnsi="Garamond" w:cs="Times New Roman"/>
          <w:sz w:val="23"/>
          <w:szCs w:val="23"/>
        </w:rPr>
      </w:pPr>
      <w:r>
        <w:rPr>
          <w:rFonts w:ascii="Garamond" w:hAnsi="Garamond" w:cs="Times New Roman"/>
          <w:sz w:val="23"/>
          <w:szCs w:val="23"/>
        </w:rPr>
        <w:t xml:space="preserve">È prevista una </w:t>
      </w:r>
      <w:r w:rsidR="007A57AE" w:rsidRPr="00D86DC5">
        <w:rPr>
          <w:rFonts w:ascii="Garamond" w:hAnsi="Garamond" w:cs="Times New Roman"/>
          <w:sz w:val="23"/>
          <w:szCs w:val="23"/>
        </w:rPr>
        <w:t>azione di monitoraggio del RPCT sull’osservanza del Codice di Comportamento</w:t>
      </w:r>
      <w:r w:rsidR="009F19D0" w:rsidRPr="009F19D0">
        <w:rPr>
          <w:rFonts w:ascii="Garamond" w:hAnsi="Garamond" w:cs="Times New Roman"/>
          <w:sz w:val="23"/>
          <w:szCs w:val="23"/>
        </w:rPr>
        <w:t xml:space="preserve"> </w:t>
      </w:r>
      <w:r w:rsidR="009F19D0">
        <w:rPr>
          <w:rFonts w:ascii="Garamond" w:hAnsi="Garamond" w:cs="Times New Roman"/>
          <w:sz w:val="23"/>
          <w:szCs w:val="23"/>
        </w:rPr>
        <w:t xml:space="preserve">di cui alla </w:t>
      </w:r>
      <w:r w:rsidR="009F19D0" w:rsidRPr="00D86DC5">
        <w:rPr>
          <w:rFonts w:ascii="Garamond" w:hAnsi="Garamond" w:cs="Times New Roman"/>
          <w:sz w:val="23"/>
          <w:szCs w:val="23"/>
        </w:rPr>
        <w:t>D.G.R. n.983 del 22/12/2018 (</w:t>
      </w:r>
      <w:r w:rsidR="009F19D0" w:rsidRPr="00D86DC5">
        <w:rPr>
          <w:rFonts w:ascii="Garamond" w:hAnsi="Garamond" w:cs="Times New Roman"/>
          <w:i/>
          <w:iCs/>
          <w:sz w:val="23"/>
          <w:szCs w:val="23"/>
        </w:rPr>
        <w:t>Aggiornamento, su proposta del Responsabile della Prevenzione della Corruzione e della Trasparenza, del Codice di comportamento dei dipendenti della Giunta Regionale, approvato con DGR n. 72 del 10.02.2014)</w:t>
      </w:r>
      <w:r w:rsidR="009F19D0">
        <w:rPr>
          <w:rFonts w:ascii="Garamond" w:hAnsi="Garamond" w:cs="Times New Roman"/>
          <w:sz w:val="23"/>
          <w:szCs w:val="23"/>
        </w:rPr>
        <w:t>.</w:t>
      </w:r>
    </w:p>
    <w:p w14:paraId="45665EA3" w14:textId="31E5BBD3" w:rsidR="007A57AE" w:rsidRPr="00D86DC5" w:rsidRDefault="009F19D0" w:rsidP="00582EFE">
      <w:pPr>
        <w:spacing w:after="0" w:line="276" w:lineRule="auto"/>
        <w:ind w:right="-1"/>
        <w:jc w:val="both"/>
        <w:rPr>
          <w:rFonts w:ascii="Garamond" w:hAnsi="Garamond" w:cs="Times New Roman"/>
          <w:sz w:val="23"/>
          <w:szCs w:val="23"/>
        </w:rPr>
      </w:pPr>
      <w:r>
        <w:rPr>
          <w:rFonts w:ascii="Garamond" w:hAnsi="Garamond" w:cs="Times New Roman"/>
          <w:sz w:val="23"/>
          <w:szCs w:val="23"/>
        </w:rPr>
        <w:t>Detta azione è svolta mediante interlocuzione con gli uffici direttoriali e dirigenziali che riferiscono al RPCT delle risultanze delle seguenti attività svolte nel periodo oggetto di monitoraggio</w:t>
      </w:r>
      <w:r w:rsidR="007A57AE" w:rsidRPr="00D86DC5">
        <w:rPr>
          <w:rFonts w:ascii="Garamond" w:hAnsi="Garamond" w:cs="Times New Roman"/>
          <w:sz w:val="23"/>
          <w:szCs w:val="23"/>
        </w:rPr>
        <w:t xml:space="preserve">: </w:t>
      </w:r>
    </w:p>
    <w:p w14:paraId="03497586" w14:textId="2B3F6840" w:rsidR="007A57AE" w:rsidRPr="00D6401D" w:rsidRDefault="007A57AE" w:rsidP="00724C70">
      <w:pPr>
        <w:pStyle w:val="Paragrafoelenco"/>
        <w:numPr>
          <w:ilvl w:val="0"/>
          <w:numId w:val="9"/>
        </w:numPr>
        <w:spacing w:after="0" w:line="276" w:lineRule="auto"/>
        <w:ind w:right="-1"/>
        <w:contextualSpacing w:val="0"/>
        <w:jc w:val="both"/>
        <w:rPr>
          <w:rFonts w:ascii="Garamond" w:hAnsi="Garamond" w:cs="Times New Roman"/>
          <w:sz w:val="23"/>
          <w:szCs w:val="23"/>
        </w:rPr>
      </w:pPr>
      <w:r w:rsidRPr="00D6401D">
        <w:rPr>
          <w:rFonts w:ascii="Garamond" w:hAnsi="Garamond" w:cs="Times New Roman"/>
          <w:sz w:val="23"/>
          <w:szCs w:val="23"/>
        </w:rPr>
        <w:t>vigilanza e controllo sull’osservanza del Codice di Comportamento;</w:t>
      </w:r>
    </w:p>
    <w:p w14:paraId="2A8629C8" w14:textId="4E5E68C0" w:rsidR="00D6401D" w:rsidRDefault="00D6401D" w:rsidP="00724C70">
      <w:pPr>
        <w:pStyle w:val="Paragrafoelenco"/>
        <w:numPr>
          <w:ilvl w:val="0"/>
          <w:numId w:val="9"/>
        </w:numPr>
        <w:spacing w:after="0" w:line="276" w:lineRule="auto"/>
        <w:ind w:right="-1"/>
        <w:contextualSpacing w:val="0"/>
        <w:jc w:val="both"/>
        <w:rPr>
          <w:rFonts w:ascii="Garamond" w:hAnsi="Garamond" w:cs="Times New Roman"/>
          <w:sz w:val="23"/>
          <w:szCs w:val="23"/>
        </w:rPr>
      </w:pPr>
      <w:r>
        <w:rPr>
          <w:rFonts w:ascii="Garamond" w:hAnsi="Garamond" w:cs="Times New Roman"/>
          <w:sz w:val="23"/>
          <w:szCs w:val="23"/>
        </w:rPr>
        <w:t>attivazione di procedimenti disciplinari per violazione del Codice di Comportamento;</w:t>
      </w:r>
    </w:p>
    <w:p w14:paraId="342E5525" w14:textId="741652B3" w:rsidR="007A57AE" w:rsidRPr="00D6401D" w:rsidRDefault="00D6401D" w:rsidP="00724C70">
      <w:pPr>
        <w:pStyle w:val="Paragrafoelenco"/>
        <w:numPr>
          <w:ilvl w:val="0"/>
          <w:numId w:val="9"/>
        </w:numPr>
        <w:spacing w:after="0" w:line="276" w:lineRule="auto"/>
        <w:ind w:right="-1"/>
        <w:contextualSpacing w:val="0"/>
        <w:jc w:val="both"/>
        <w:rPr>
          <w:rFonts w:ascii="Garamond" w:hAnsi="Garamond" w:cs="Times New Roman"/>
          <w:sz w:val="23"/>
          <w:szCs w:val="23"/>
        </w:rPr>
      </w:pPr>
      <w:r w:rsidRPr="00D6401D">
        <w:rPr>
          <w:rFonts w:ascii="Garamond" w:hAnsi="Garamond" w:cs="Times New Roman"/>
          <w:sz w:val="23"/>
          <w:szCs w:val="23"/>
        </w:rPr>
        <w:lastRenderedPageBreak/>
        <w:t>esecuzione di</w:t>
      </w:r>
      <w:r w:rsidR="007A57AE" w:rsidRPr="00D6401D">
        <w:rPr>
          <w:rFonts w:ascii="Garamond" w:hAnsi="Garamond" w:cs="Times New Roman"/>
          <w:sz w:val="23"/>
          <w:szCs w:val="23"/>
        </w:rPr>
        <w:t xml:space="preserve"> provvedimenti disciplinari e sentenze pronunciate nei confronti dei dipendenti.</w:t>
      </w:r>
    </w:p>
    <w:p w14:paraId="7F7C4248" w14:textId="77777777" w:rsidR="00C377D6" w:rsidRDefault="00C377D6" w:rsidP="00582EFE">
      <w:pPr>
        <w:spacing w:after="0" w:line="276" w:lineRule="auto"/>
        <w:ind w:right="-1"/>
        <w:jc w:val="both"/>
        <w:rPr>
          <w:rFonts w:ascii="Garamond" w:hAnsi="Garamond" w:cs="Times New Roman"/>
          <w:b/>
          <w:i/>
          <w:sz w:val="23"/>
          <w:szCs w:val="23"/>
        </w:rPr>
      </w:pPr>
      <w:bookmarkStart w:id="42" w:name="_Toc43329223"/>
      <w:bookmarkStart w:id="43" w:name="_Hlk101637219"/>
    </w:p>
    <w:p w14:paraId="70854083" w14:textId="3DB5B8B8" w:rsidR="007A57AE" w:rsidRPr="00926B2D" w:rsidRDefault="007A57AE" w:rsidP="00582EFE">
      <w:pPr>
        <w:spacing w:after="0" w:line="276" w:lineRule="auto"/>
        <w:ind w:right="-1"/>
        <w:jc w:val="both"/>
        <w:rPr>
          <w:rFonts w:ascii="Garamond" w:hAnsi="Garamond" w:cs="Times New Roman"/>
          <w:b/>
          <w:i/>
          <w:sz w:val="23"/>
          <w:szCs w:val="23"/>
        </w:rPr>
      </w:pPr>
      <w:r w:rsidRPr="009263BF">
        <w:rPr>
          <w:rFonts w:ascii="Garamond" w:hAnsi="Garamond" w:cs="Times New Roman"/>
          <w:b/>
          <w:i/>
          <w:sz w:val="23"/>
          <w:szCs w:val="23"/>
        </w:rPr>
        <w:t>Rotazione ordinaria e straordinaria</w:t>
      </w:r>
      <w:bookmarkEnd w:id="42"/>
      <w:r w:rsidR="00542739">
        <w:rPr>
          <w:rFonts w:ascii="Garamond" w:hAnsi="Garamond" w:cs="Times New Roman"/>
          <w:b/>
          <w:i/>
          <w:sz w:val="23"/>
          <w:szCs w:val="23"/>
        </w:rPr>
        <w:t xml:space="preserve"> </w:t>
      </w:r>
      <w:r w:rsidR="00D6401D">
        <w:rPr>
          <w:rFonts w:ascii="Garamond" w:hAnsi="Garamond" w:cs="Times New Roman"/>
          <w:b/>
          <w:i/>
          <w:sz w:val="23"/>
          <w:szCs w:val="23"/>
        </w:rPr>
        <w:t>(Allegato B - MG/3 e</w:t>
      </w:r>
      <w:r w:rsidR="00D6401D" w:rsidRPr="00D6401D">
        <w:rPr>
          <w:rFonts w:ascii="Garamond" w:hAnsi="Garamond" w:cs="Times New Roman"/>
          <w:b/>
          <w:i/>
          <w:sz w:val="23"/>
          <w:szCs w:val="23"/>
        </w:rPr>
        <w:t xml:space="preserve"> </w:t>
      </w:r>
      <w:r w:rsidR="00D6401D">
        <w:rPr>
          <w:rFonts w:ascii="Garamond" w:hAnsi="Garamond" w:cs="Times New Roman"/>
          <w:b/>
          <w:i/>
          <w:sz w:val="23"/>
          <w:szCs w:val="23"/>
        </w:rPr>
        <w:t>MG/4)</w:t>
      </w:r>
    </w:p>
    <w:bookmarkEnd w:id="43"/>
    <w:p w14:paraId="216B0C26" w14:textId="6BA0A75C" w:rsidR="007A57AE" w:rsidRPr="00D86DC5" w:rsidRDefault="007A57AE" w:rsidP="00582EFE">
      <w:pPr>
        <w:pStyle w:val="Paragrafoelenco"/>
        <w:spacing w:after="0" w:line="276" w:lineRule="auto"/>
        <w:ind w:left="0" w:right="-1"/>
        <w:contextualSpacing w:val="0"/>
        <w:jc w:val="both"/>
        <w:rPr>
          <w:rFonts w:ascii="Garamond" w:hAnsi="Garamond" w:cs="Times New Roman"/>
          <w:i/>
          <w:sz w:val="23"/>
          <w:szCs w:val="23"/>
        </w:rPr>
      </w:pPr>
      <w:r w:rsidRPr="00D86DC5">
        <w:rPr>
          <w:rFonts w:ascii="Garamond" w:hAnsi="Garamond" w:cs="Times New Roman"/>
          <w:sz w:val="23"/>
          <w:szCs w:val="23"/>
        </w:rPr>
        <w:t xml:space="preserve">La </w:t>
      </w:r>
      <w:r w:rsidRPr="0010461B">
        <w:rPr>
          <w:rFonts w:ascii="Garamond" w:hAnsi="Garamond" w:cs="Times New Roman"/>
          <w:iCs/>
          <w:sz w:val="23"/>
          <w:szCs w:val="23"/>
        </w:rPr>
        <w:t>rotazione</w:t>
      </w:r>
      <w:r w:rsidRPr="00D86DC5">
        <w:rPr>
          <w:rFonts w:ascii="Garamond" w:hAnsi="Garamond" w:cs="Times New Roman"/>
          <w:sz w:val="23"/>
          <w:szCs w:val="23"/>
        </w:rPr>
        <w:t xml:space="preserve"> del personale all’interno delle pubbliche amministrazioni nelle aree a più elevato rischio di corruzione è stata introdotta come misura di prevenzione della corruzione dall’art. 1, co. 5, </w:t>
      </w:r>
      <w:proofErr w:type="spellStart"/>
      <w:r w:rsidRPr="00D86DC5">
        <w:rPr>
          <w:rFonts w:ascii="Garamond" w:hAnsi="Garamond" w:cs="Times New Roman"/>
          <w:sz w:val="23"/>
          <w:szCs w:val="23"/>
        </w:rPr>
        <w:t>lett</w:t>
      </w:r>
      <w:proofErr w:type="spellEnd"/>
      <w:r w:rsidRPr="00D86DC5">
        <w:rPr>
          <w:rFonts w:ascii="Garamond" w:hAnsi="Garamond" w:cs="Times New Roman"/>
          <w:sz w:val="23"/>
          <w:szCs w:val="23"/>
        </w:rPr>
        <w:t>. b) della Legge n. 190/2012</w:t>
      </w:r>
      <w:r w:rsidR="00F830E9">
        <w:rPr>
          <w:rFonts w:ascii="Garamond" w:hAnsi="Garamond" w:cs="Times New Roman"/>
          <w:sz w:val="23"/>
          <w:szCs w:val="23"/>
        </w:rPr>
        <w:t>.</w:t>
      </w:r>
      <w:r w:rsidRPr="00D86DC5">
        <w:rPr>
          <w:rFonts w:ascii="Garamond" w:hAnsi="Garamond" w:cs="Times New Roman"/>
          <w:sz w:val="23"/>
          <w:szCs w:val="23"/>
        </w:rPr>
        <w:t xml:space="preserve"> </w:t>
      </w:r>
      <w:r w:rsidR="00F830E9">
        <w:rPr>
          <w:rFonts w:ascii="Garamond" w:hAnsi="Garamond" w:cs="Times New Roman"/>
          <w:sz w:val="23"/>
          <w:szCs w:val="23"/>
        </w:rPr>
        <w:t>In particolare</w:t>
      </w:r>
      <w:r w:rsidRPr="00D86DC5">
        <w:rPr>
          <w:rFonts w:ascii="Garamond" w:hAnsi="Garamond" w:cs="Times New Roman"/>
          <w:sz w:val="23"/>
          <w:szCs w:val="23"/>
        </w:rPr>
        <w:t>,</w:t>
      </w:r>
      <w:r w:rsidR="00F830E9">
        <w:rPr>
          <w:rFonts w:ascii="Garamond" w:hAnsi="Garamond" w:cs="Times New Roman"/>
          <w:sz w:val="23"/>
          <w:szCs w:val="23"/>
        </w:rPr>
        <w:t xml:space="preserve"> la rotazione c.d. “ordinaria”</w:t>
      </w:r>
      <w:r w:rsidRPr="00D86DC5">
        <w:rPr>
          <w:rFonts w:ascii="Garamond" w:hAnsi="Garamond" w:cs="Times New Roman"/>
          <w:sz w:val="23"/>
          <w:szCs w:val="23"/>
        </w:rPr>
        <w:t xml:space="preserve"> è stata inserita dal legislatore come una delle misure organizzati</w:t>
      </w:r>
      <w:r w:rsidR="00F830E9">
        <w:rPr>
          <w:rFonts w:ascii="Garamond" w:hAnsi="Garamond" w:cs="Times New Roman"/>
          <w:sz w:val="23"/>
          <w:szCs w:val="23"/>
        </w:rPr>
        <w:t xml:space="preserve">ve generali, </w:t>
      </w:r>
      <w:r w:rsidRPr="00D86DC5">
        <w:rPr>
          <w:rFonts w:ascii="Garamond" w:hAnsi="Garamond" w:cs="Times New Roman"/>
          <w:sz w:val="23"/>
          <w:szCs w:val="23"/>
        </w:rPr>
        <w:t>ad efficacia preventiva</w:t>
      </w:r>
      <w:r w:rsidR="00F830E9">
        <w:rPr>
          <w:rFonts w:ascii="Garamond" w:hAnsi="Garamond" w:cs="Times New Roman"/>
          <w:sz w:val="23"/>
          <w:szCs w:val="23"/>
        </w:rPr>
        <w:t>,</w:t>
      </w:r>
      <w:r w:rsidRPr="00D86DC5">
        <w:rPr>
          <w:rFonts w:ascii="Garamond" w:hAnsi="Garamond" w:cs="Times New Roman"/>
          <w:sz w:val="23"/>
          <w:szCs w:val="23"/>
        </w:rPr>
        <w:t xml:space="preserve"> che può essere utilizzata nei confronti di coloro che operano in settori particolarmente esposti alla corruzione. La rotazione del personale assegnato alle aree a rischio rappresenta una misura fondamentale che il Piano Nazionale Anticorruzione individua e motiva ritenendo che </w:t>
      </w:r>
      <w:r w:rsidRPr="00D86DC5">
        <w:rPr>
          <w:rFonts w:ascii="Garamond" w:hAnsi="Garamond" w:cs="Times New Roman"/>
          <w:i/>
          <w:sz w:val="23"/>
          <w:szCs w:val="23"/>
        </w:rPr>
        <w:t xml:space="preserve">"l'alternanza tra più professionisti nell'assunzione delle decisioni e nella gestione delle procedure riduce il rischio che possano crearsi relazioni particolari tra amministrazioni ed utenti, con il conseguente consolidarsi di situazioni di privilegio e l'aspettativa a risposte illegali improntate a collusione". </w:t>
      </w:r>
    </w:p>
    <w:p w14:paraId="67BA95A6" w14:textId="77777777" w:rsidR="007A57AE" w:rsidRPr="00D86DC5" w:rsidRDefault="007A57AE" w:rsidP="00582EFE">
      <w:pPr>
        <w:pStyle w:val="Paragrafoelenco"/>
        <w:spacing w:after="0" w:line="276" w:lineRule="auto"/>
        <w:ind w:left="0" w:right="-1"/>
        <w:contextualSpacing w:val="0"/>
        <w:jc w:val="both"/>
        <w:rPr>
          <w:rFonts w:ascii="Garamond" w:hAnsi="Garamond" w:cs="Times New Roman"/>
          <w:sz w:val="23"/>
          <w:szCs w:val="23"/>
        </w:rPr>
      </w:pPr>
      <w:r w:rsidRPr="00D86DC5">
        <w:rPr>
          <w:rFonts w:ascii="Garamond" w:hAnsi="Garamond" w:cs="Times New Roman"/>
          <w:sz w:val="23"/>
          <w:szCs w:val="23"/>
        </w:rPr>
        <w:t>Il PNA, quale logico corollario del principio di rotazione, al fine di assicurare il buon andamento e la continuità dell’azione amministrativa, pone a carico delle pubbliche amministrazioni l’obbligo di far acquisire ai dipendenti competenze professionali, anche di tipo trasversale, al fine di rendere fungibili le funzioni in una pluralità di ambiti lavorativi, anche prevedendo opportuni periodi di affiancamento. Una formazione di buon livello, in definitiva, può contribuire a rendere il personale più flessibile ed impiegabile in diverse attività.</w:t>
      </w:r>
    </w:p>
    <w:p w14:paraId="7C0BF8AA" w14:textId="0709ECE8" w:rsidR="007A57AE" w:rsidRPr="00D86DC5" w:rsidRDefault="007A57AE" w:rsidP="00582EFE">
      <w:pPr>
        <w:pStyle w:val="Paragrafoelenco"/>
        <w:spacing w:after="0" w:line="276" w:lineRule="auto"/>
        <w:ind w:left="0" w:right="-1"/>
        <w:contextualSpacing w:val="0"/>
        <w:jc w:val="both"/>
        <w:rPr>
          <w:rFonts w:ascii="Garamond" w:hAnsi="Garamond" w:cs="Times New Roman"/>
          <w:sz w:val="23"/>
          <w:szCs w:val="23"/>
        </w:rPr>
      </w:pPr>
      <w:r w:rsidRPr="00D86DC5">
        <w:rPr>
          <w:rFonts w:ascii="Garamond" w:hAnsi="Garamond" w:cs="Times New Roman"/>
          <w:sz w:val="23"/>
          <w:szCs w:val="23"/>
        </w:rPr>
        <w:t>Nell’ottica di porre a carico delle amministrazioni l’eccezionalità del ricorso a deroghe rispetto al naturale principio di rotazione di dirigenti e funzionari, il PNA indica anche le misure alternati</w:t>
      </w:r>
      <w:r w:rsidR="00172B58">
        <w:rPr>
          <w:rFonts w:ascii="Garamond" w:hAnsi="Garamond" w:cs="Times New Roman"/>
          <w:sz w:val="23"/>
          <w:szCs w:val="23"/>
        </w:rPr>
        <w:t>ve nel caso in cui non potesse d</w:t>
      </w:r>
      <w:r w:rsidRPr="00D86DC5">
        <w:rPr>
          <w:rFonts w:ascii="Garamond" w:hAnsi="Garamond" w:cs="Times New Roman"/>
          <w:sz w:val="23"/>
          <w:szCs w:val="23"/>
        </w:rPr>
        <w:t>arsi luogo all’applicazione dell’istituto della rotazione.</w:t>
      </w:r>
    </w:p>
    <w:p w14:paraId="23DF311F" w14:textId="7A41CC8F" w:rsidR="005E7907" w:rsidRPr="00D25024" w:rsidRDefault="005E7907" w:rsidP="00582EFE">
      <w:pPr>
        <w:autoSpaceDE w:val="0"/>
        <w:autoSpaceDN w:val="0"/>
        <w:adjustRightInd w:val="0"/>
        <w:spacing w:after="0" w:line="276" w:lineRule="auto"/>
        <w:ind w:right="-1"/>
        <w:jc w:val="both"/>
        <w:rPr>
          <w:rFonts w:ascii="Garamond" w:hAnsi="Garamond" w:cs="Times New Roman"/>
          <w:strike/>
          <w:sz w:val="23"/>
          <w:szCs w:val="23"/>
        </w:rPr>
      </w:pPr>
      <w:r w:rsidRPr="00D25024">
        <w:rPr>
          <w:rFonts w:ascii="Garamond" w:hAnsi="Garamond" w:cs="Times New Roman"/>
          <w:sz w:val="23"/>
          <w:szCs w:val="23"/>
        </w:rPr>
        <w:t xml:space="preserve">Posto che il presente Piano già individua il livello di rischio dei singoli processi, la rotazione </w:t>
      </w:r>
      <w:r w:rsidR="00DD231D" w:rsidRPr="00D25024">
        <w:rPr>
          <w:rFonts w:ascii="Garamond" w:hAnsi="Garamond" w:cs="Times New Roman"/>
          <w:sz w:val="23"/>
          <w:szCs w:val="23"/>
        </w:rPr>
        <w:t>deve necessariamente partire dalla</w:t>
      </w:r>
      <w:r w:rsidR="00DD231D" w:rsidRPr="00D25024">
        <w:t xml:space="preserve"> </w:t>
      </w:r>
      <w:r w:rsidR="00DD231D" w:rsidRPr="00D25024">
        <w:rPr>
          <w:rFonts w:ascii="Garamond" w:hAnsi="Garamond" w:cs="Times New Roman"/>
          <w:sz w:val="23"/>
          <w:szCs w:val="23"/>
        </w:rPr>
        <w:t>individuazione dei livelli di rischio dei singoli Servizi/Uffici, e quindi dei dipendenti interessati dalla misura, in un’ottica organizzativa che risulti strettamente correlata ad una adeguata formazione ed esperienza, e che salvaguardi la continuità e la coerenza degli indirizzi e le necessarie competenze.</w:t>
      </w:r>
    </w:p>
    <w:p w14:paraId="748FDB49" w14:textId="6E80C180" w:rsidR="007A57AE" w:rsidRPr="00F900BE" w:rsidRDefault="00ED7B25" w:rsidP="00582EFE">
      <w:pPr>
        <w:autoSpaceDE w:val="0"/>
        <w:autoSpaceDN w:val="0"/>
        <w:adjustRightInd w:val="0"/>
        <w:spacing w:after="0" w:line="276" w:lineRule="auto"/>
        <w:ind w:right="-1"/>
        <w:jc w:val="both"/>
        <w:rPr>
          <w:rFonts w:ascii="Garamond" w:hAnsi="Garamond" w:cs="Times New Roman"/>
          <w:sz w:val="23"/>
          <w:szCs w:val="23"/>
        </w:rPr>
      </w:pPr>
      <w:r w:rsidRPr="00F900BE">
        <w:rPr>
          <w:rFonts w:ascii="Garamond" w:hAnsi="Garamond" w:cs="Times New Roman"/>
          <w:sz w:val="23"/>
          <w:szCs w:val="23"/>
        </w:rPr>
        <w:t>In ambito regionale</w:t>
      </w:r>
      <w:r w:rsidR="007A57AE" w:rsidRPr="00F900BE">
        <w:rPr>
          <w:rFonts w:ascii="Garamond" w:hAnsi="Garamond" w:cs="Times New Roman"/>
          <w:sz w:val="23"/>
          <w:szCs w:val="23"/>
        </w:rPr>
        <w:t>, in attuazione delle Misure previste da</w:t>
      </w:r>
      <w:r w:rsidR="00644617" w:rsidRPr="00F900BE">
        <w:rPr>
          <w:rFonts w:ascii="Garamond" w:hAnsi="Garamond" w:cs="Times New Roman"/>
          <w:sz w:val="23"/>
          <w:szCs w:val="23"/>
        </w:rPr>
        <w:t>l</w:t>
      </w:r>
      <w:r w:rsidR="007A57AE" w:rsidRPr="00F900BE">
        <w:rPr>
          <w:rFonts w:ascii="Garamond" w:hAnsi="Garamond" w:cs="Times New Roman"/>
          <w:sz w:val="23"/>
          <w:szCs w:val="23"/>
        </w:rPr>
        <w:t xml:space="preserve"> PTPCT 2016/2018, con </w:t>
      </w:r>
      <w:r w:rsidRPr="00F900BE">
        <w:rPr>
          <w:rFonts w:ascii="Garamond" w:hAnsi="Garamond" w:cs="Times New Roman"/>
          <w:sz w:val="23"/>
          <w:szCs w:val="23"/>
        </w:rPr>
        <w:t>D.G.R. n. 42 del 02.</w:t>
      </w:r>
      <w:r w:rsidR="007A57AE" w:rsidRPr="00F900BE">
        <w:rPr>
          <w:rFonts w:ascii="Garamond" w:hAnsi="Garamond" w:cs="Times New Roman"/>
          <w:sz w:val="23"/>
          <w:szCs w:val="23"/>
        </w:rPr>
        <w:t>02</w:t>
      </w:r>
      <w:r w:rsidRPr="00F900BE">
        <w:rPr>
          <w:rFonts w:ascii="Garamond" w:hAnsi="Garamond" w:cs="Times New Roman"/>
          <w:sz w:val="23"/>
          <w:szCs w:val="23"/>
        </w:rPr>
        <w:t>.</w:t>
      </w:r>
      <w:r w:rsidR="007A57AE" w:rsidRPr="00F900BE">
        <w:rPr>
          <w:rFonts w:ascii="Garamond" w:hAnsi="Garamond" w:cs="Times New Roman"/>
          <w:sz w:val="23"/>
          <w:szCs w:val="23"/>
        </w:rPr>
        <w:t xml:space="preserve">2017 </w:t>
      </w:r>
      <w:r w:rsidRPr="00F900BE">
        <w:rPr>
          <w:rFonts w:ascii="Garamond" w:hAnsi="Garamond" w:cs="Times New Roman"/>
          <w:sz w:val="23"/>
          <w:szCs w:val="23"/>
        </w:rPr>
        <w:t>son stati approvati</w:t>
      </w:r>
      <w:r w:rsidR="007A57AE" w:rsidRPr="00F900BE">
        <w:rPr>
          <w:rFonts w:ascii="Garamond" w:hAnsi="Garamond" w:cs="Times New Roman"/>
          <w:sz w:val="23"/>
          <w:szCs w:val="23"/>
        </w:rPr>
        <w:t xml:space="preserve"> i criteri per la rotazione del personale con qualifica dirigenziale e dei titolari di posizione organizzativa. </w:t>
      </w:r>
    </w:p>
    <w:p w14:paraId="4DDC723C" w14:textId="7191F381" w:rsidR="007A57AE" w:rsidRPr="00F900BE" w:rsidRDefault="00ED7B25" w:rsidP="00582EFE">
      <w:pPr>
        <w:autoSpaceDE w:val="0"/>
        <w:autoSpaceDN w:val="0"/>
        <w:adjustRightInd w:val="0"/>
        <w:spacing w:after="0" w:line="276" w:lineRule="auto"/>
        <w:ind w:right="-1"/>
        <w:jc w:val="both"/>
        <w:rPr>
          <w:rFonts w:ascii="Garamond" w:hAnsi="Garamond" w:cs="Times New Roman"/>
          <w:i/>
          <w:iCs/>
          <w:sz w:val="23"/>
          <w:szCs w:val="23"/>
        </w:rPr>
      </w:pPr>
      <w:r w:rsidRPr="00F900BE">
        <w:rPr>
          <w:rFonts w:ascii="Garamond" w:hAnsi="Garamond" w:cs="Times New Roman"/>
          <w:sz w:val="23"/>
          <w:szCs w:val="23"/>
        </w:rPr>
        <w:t>Successivamente, c</w:t>
      </w:r>
      <w:r w:rsidR="00814E07" w:rsidRPr="00F900BE">
        <w:rPr>
          <w:rFonts w:ascii="Garamond" w:hAnsi="Garamond" w:cs="Times New Roman"/>
          <w:sz w:val="23"/>
          <w:szCs w:val="23"/>
        </w:rPr>
        <w:t xml:space="preserve">on </w:t>
      </w:r>
      <w:r w:rsidR="007A57AE" w:rsidRPr="00F900BE">
        <w:rPr>
          <w:rFonts w:ascii="Garamond" w:hAnsi="Garamond" w:cs="Times New Roman"/>
          <w:sz w:val="23"/>
          <w:szCs w:val="23"/>
        </w:rPr>
        <w:t>D.G.R. n.</w:t>
      </w:r>
      <w:r w:rsidR="0076571C" w:rsidRPr="00F900BE">
        <w:rPr>
          <w:rFonts w:ascii="Garamond" w:hAnsi="Garamond" w:cs="Times New Roman"/>
          <w:sz w:val="23"/>
          <w:szCs w:val="23"/>
        </w:rPr>
        <w:t xml:space="preserve"> </w:t>
      </w:r>
      <w:r w:rsidR="007A57AE" w:rsidRPr="00F900BE">
        <w:rPr>
          <w:rFonts w:ascii="Garamond" w:hAnsi="Garamond" w:cs="Times New Roman"/>
          <w:sz w:val="23"/>
          <w:szCs w:val="23"/>
        </w:rPr>
        <w:t>13 del 13</w:t>
      </w:r>
      <w:r w:rsidRPr="00F900BE">
        <w:rPr>
          <w:rFonts w:ascii="Garamond" w:hAnsi="Garamond" w:cs="Times New Roman"/>
          <w:sz w:val="23"/>
          <w:szCs w:val="23"/>
        </w:rPr>
        <w:t>.01.</w:t>
      </w:r>
      <w:r w:rsidR="007A57AE" w:rsidRPr="00F900BE">
        <w:rPr>
          <w:rFonts w:ascii="Garamond" w:hAnsi="Garamond" w:cs="Times New Roman"/>
          <w:sz w:val="23"/>
          <w:szCs w:val="23"/>
        </w:rPr>
        <w:t>2020</w:t>
      </w:r>
      <w:r w:rsidR="00814E07" w:rsidRPr="00F900BE">
        <w:rPr>
          <w:rFonts w:ascii="Garamond" w:hAnsi="Garamond" w:cs="Times New Roman"/>
          <w:sz w:val="23"/>
          <w:szCs w:val="23"/>
        </w:rPr>
        <w:t>, la Giunta regionale approvava</w:t>
      </w:r>
      <w:r w:rsidR="00644617" w:rsidRPr="00F900BE">
        <w:rPr>
          <w:rFonts w:ascii="Garamond" w:hAnsi="Garamond" w:cs="Times New Roman"/>
          <w:sz w:val="23"/>
          <w:szCs w:val="23"/>
        </w:rPr>
        <w:t xml:space="preserve"> il</w:t>
      </w:r>
      <w:r w:rsidR="00814E07" w:rsidRPr="00F900BE">
        <w:rPr>
          <w:rFonts w:ascii="Garamond" w:hAnsi="Garamond" w:cs="Times New Roman"/>
          <w:sz w:val="23"/>
          <w:szCs w:val="23"/>
        </w:rPr>
        <w:t xml:space="preserve"> Disciplinare contenente </w:t>
      </w:r>
      <w:r w:rsidR="0076571C" w:rsidRPr="00F900BE">
        <w:rPr>
          <w:rFonts w:ascii="Garamond" w:hAnsi="Garamond" w:cs="Times New Roman"/>
          <w:sz w:val="23"/>
          <w:szCs w:val="23"/>
        </w:rPr>
        <w:t>“</w:t>
      </w:r>
      <w:r w:rsidR="007A57AE" w:rsidRPr="00F900BE">
        <w:rPr>
          <w:rFonts w:ascii="Garamond" w:hAnsi="Garamond" w:cs="Times New Roman"/>
          <w:sz w:val="23"/>
          <w:szCs w:val="23"/>
        </w:rPr>
        <w:t>Criteri e modalità per la rotazione del personale del</w:t>
      </w:r>
      <w:r w:rsidR="00BA6324" w:rsidRPr="00F900BE">
        <w:rPr>
          <w:rFonts w:ascii="Garamond" w:hAnsi="Garamond" w:cs="Times New Roman"/>
          <w:sz w:val="23"/>
          <w:szCs w:val="23"/>
        </w:rPr>
        <w:t xml:space="preserve">la Giunta della Regione Abruzzo, </w:t>
      </w:r>
      <w:r w:rsidR="007A57AE" w:rsidRPr="00F900BE">
        <w:rPr>
          <w:rFonts w:ascii="Garamond" w:hAnsi="Garamond" w:cs="Times New Roman"/>
          <w:sz w:val="23"/>
          <w:szCs w:val="23"/>
        </w:rPr>
        <w:t>in applicazione della L</w:t>
      </w:r>
      <w:r w:rsidR="0076571C" w:rsidRPr="00F900BE">
        <w:rPr>
          <w:rFonts w:ascii="Garamond" w:hAnsi="Garamond" w:cs="Times New Roman"/>
          <w:sz w:val="23"/>
          <w:szCs w:val="23"/>
        </w:rPr>
        <w:t xml:space="preserve">egge n. </w:t>
      </w:r>
      <w:r w:rsidR="007A57AE" w:rsidRPr="00F900BE">
        <w:rPr>
          <w:rFonts w:ascii="Garamond" w:hAnsi="Garamond" w:cs="Times New Roman"/>
          <w:sz w:val="23"/>
          <w:szCs w:val="23"/>
        </w:rPr>
        <w:t>190/2012 e del PTPCT vigente della Regione Abruzzo</w:t>
      </w:r>
      <w:r w:rsidR="0076571C" w:rsidRPr="00F900BE">
        <w:rPr>
          <w:rFonts w:ascii="Garamond" w:hAnsi="Garamond" w:cs="Times New Roman"/>
          <w:sz w:val="23"/>
          <w:szCs w:val="23"/>
        </w:rPr>
        <w:t>”</w:t>
      </w:r>
      <w:r w:rsidR="007A57AE" w:rsidRPr="00F900BE">
        <w:rPr>
          <w:rFonts w:ascii="Garamond" w:hAnsi="Garamond" w:cs="Times New Roman"/>
          <w:sz w:val="23"/>
          <w:szCs w:val="23"/>
        </w:rPr>
        <w:t>.</w:t>
      </w:r>
    </w:p>
    <w:p w14:paraId="1D17453C" w14:textId="77777777" w:rsidR="007A57AE" w:rsidRPr="00F900BE" w:rsidRDefault="007A57AE" w:rsidP="00582EFE">
      <w:pPr>
        <w:spacing w:after="0" w:line="276" w:lineRule="auto"/>
        <w:ind w:right="-1"/>
        <w:jc w:val="both"/>
        <w:rPr>
          <w:rFonts w:ascii="Garamond" w:hAnsi="Garamond" w:cs="Times New Roman"/>
          <w:sz w:val="23"/>
          <w:szCs w:val="23"/>
        </w:rPr>
      </w:pPr>
      <w:r w:rsidRPr="00F900BE">
        <w:rPr>
          <w:rFonts w:ascii="Garamond" w:hAnsi="Garamond" w:cs="Times New Roman"/>
          <w:sz w:val="23"/>
          <w:szCs w:val="23"/>
        </w:rPr>
        <w:t>A seguito di ricorso promosso da FLFP-CGIL</w:t>
      </w:r>
      <w:r w:rsidR="00814E07" w:rsidRPr="00F900BE">
        <w:rPr>
          <w:rFonts w:ascii="Garamond" w:hAnsi="Garamond" w:cs="Times New Roman"/>
          <w:sz w:val="23"/>
          <w:szCs w:val="23"/>
        </w:rPr>
        <w:t xml:space="preserve">, </w:t>
      </w:r>
      <w:r w:rsidRPr="00F900BE">
        <w:rPr>
          <w:rFonts w:ascii="Garamond" w:hAnsi="Garamond" w:cs="Times New Roman"/>
          <w:sz w:val="23"/>
          <w:szCs w:val="23"/>
        </w:rPr>
        <w:t>con D.G.R. n. 197 del 14</w:t>
      </w:r>
      <w:r w:rsidR="00ED7B25" w:rsidRPr="00F900BE">
        <w:rPr>
          <w:rFonts w:ascii="Garamond" w:hAnsi="Garamond" w:cs="Times New Roman"/>
          <w:sz w:val="23"/>
          <w:szCs w:val="23"/>
        </w:rPr>
        <w:t>.04.</w:t>
      </w:r>
      <w:r w:rsidRPr="00F900BE">
        <w:rPr>
          <w:rFonts w:ascii="Garamond" w:hAnsi="Garamond" w:cs="Times New Roman"/>
          <w:sz w:val="23"/>
          <w:szCs w:val="23"/>
        </w:rPr>
        <w:t xml:space="preserve">2020 è stata disposta la revoca della </w:t>
      </w:r>
      <w:r w:rsidR="00ED7B25" w:rsidRPr="00F900BE">
        <w:rPr>
          <w:rFonts w:ascii="Garamond" w:hAnsi="Garamond" w:cs="Times New Roman"/>
          <w:sz w:val="23"/>
          <w:szCs w:val="23"/>
        </w:rPr>
        <w:t>suddetta D.G.R. n. 13</w:t>
      </w:r>
      <w:r w:rsidRPr="00F900BE">
        <w:rPr>
          <w:rFonts w:ascii="Garamond" w:hAnsi="Garamond" w:cs="Times New Roman"/>
          <w:sz w:val="23"/>
          <w:szCs w:val="23"/>
        </w:rPr>
        <w:t>/2020 e l’avvio del confronto con le OO.SS.</w:t>
      </w:r>
      <w:r w:rsidR="00ED7B25" w:rsidRPr="00F900BE">
        <w:rPr>
          <w:rFonts w:ascii="Garamond" w:hAnsi="Garamond" w:cs="Times New Roman"/>
          <w:sz w:val="23"/>
          <w:szCs w:val="23"/>
        </w:rPr>
        <w:t>.</w:t>
      </w:r>
    </w:p>
    <w:p w14:paraId="6E90E584" w14:textId="6B1DF465" w:rsidR="007A57AE" w:rsidRPr="00F900BE" w:rsidRDefault="00ED7B25" w:rsidP="00582EFE">
      <w:pPr>
        <w:spacing w:after="0" w:line="276" w:lineRule="auto"/>
        <w:ind w:right="-1"/>
        <w:jc w:val="both"/>
        <w:rPr>
          <w:rFonts w:ascii="Garamond" w:hAnsi="Garamond" w:cs="Times New Roman"/>
          <w:sz w:val="23"/>
          <w:szCs w:val="23"/>
        </w:rPr>
      </w:pPr>
      <w:r w:rsidRPr="00F900BE">
        <w:rPr>
          <w:rFonts w:ascii="Garamond" w:hAnsi="Garamond" w:cs="Times New Roman"/>
          <w:sz w:val="23"/>
          <w:szCs w:val="23"/>
        </w:rPr>
        <w:t>Conseguentemente</w:t>
      </w:r>
      <w:r w:rsidR="00F90C2C" w:rsidRPr="00F900BE">
        <w:rPr>
          <w:rFonts w:ascii="Garamond" w:hAnsi="Garamond" w:cs="Times New Roman"/>
          <w:sz w:val="23"/>
          <w:szCs w:val="23"/>
        </w:rPr>
        <w:t>, c</w:t>
      </w:r>
      <w:r w:rsidR="007A57AE" w:rsidRPr="00F900BE">
        <w:rPr>
          <w:rFonts w:ascii="Garamond" w:hAnsi="Garamond" w:cs="Times New Roman"/>
          <w:sz w:val="23"/>
          <w:szCs w:val="23"/>
        </w:rPr>
        <w:t>on D.G.R. n. 264 del 14</w:t>
      </w:r>
      <w:r w:rsidRPr="00F900BE">
        <w:rPr>
          <w:rFonts w:ascii="Garamond" w:hAnsi="Garamond" w:cs="Times New Roman"/>
          <w:sz w:val="23"/>
          <w:szCs w:val="23"/>
        </w:rPr>
        <w:t>.05.</w:t>
      </w:r>
      <w:r w:rsidR="007A57AE" w:rsidRPr="00F900BE">
        <w:rPr>
          <w:rFonts w:ascii="Garamond" w:hAnsi="Garamond" w:cs="Times New Roman"/>
          <w:sz w:val="23"/>
          <w:szCs w:val="23"/>
        </w:rPr>
        <w:t xml:space="preserve">2020 </w:t>
      </w:r>
      <w:r w:rsidR="00814E07" w:rsidRPr="00F900BE">
        <w:rPr>
          <w:rFonts w:ascii="Garamond" w:hAnsi="Garamond" w:cs="Times New Roman"/>
          <w:sz w:val="23"/>
          <w:szCs w:val="23"/>
        </w:rPr>
        <w:t>recante</w:t>
      </w:r>
      <w:r w:rsidR="007A57AE" w:rsidRPr="00F900BE">
        <w:rPr>
          <w:rFonts w:ascii="Garamond" w:hAnsi="Garamond" w:cs="Times New Roman"/>
          <w:sz w:val="23"/>
          <w:szCs w:val="23"/>
        </w:rPr>
        <w:t>: “</w:t>
      </w:r>
      <w:r w:rsidR="007A57AE" w:rsidRPr="00F900BE">
        <w:rPr>
          <w:rFonts w:ascii="Garamond" w:hAnsi="Garamond" w:cs="Times New Roman"/>
          <w:i/>
          <w:iCs/>
          <w:sz w:val="23"/>
          <w:szCs w:val="23"/>
        </w:rPr>
        <w:t>Criteri e modalità per la rotazione dei dirigenti della Giunta della Regione Abruzzo (in applicazione della Legge n. 190/2012 e del PTPCT vigente della Regione) – Nuova Approvazione</w:t>
      </w:r>
      <w:r w:rsidR="007A57AE" w:rsidRPr="00F900BE">
        <w:rPr>
          <w:rFonts w:ascii="Garamond" w:hAnsi="Garamond" w:cs="Times New Roman"/>
          <w:sz w:val="23"/>
          <w:szCs w:val="23"/>
        </w:rPr>
        <w:t>”, la Giunta Regionale ha regolamentato le modalità di applicazione della misura della rotazione ai dir</w:t>
      </w:r>
      <w:r w:rsidR="00990D41" w:rsidRPr="00F900BE">
        <w:rPr>
          <w:rFonts w:ascii="Garamond" w:hAnsi="Garamond" w:cs="Times New Roman"/>
          <w:sz w:val="23"/>
          <w:szCs w:val="23"/>
        </w:rPr>
        <w:t xml:space="preserve">igenti della Giunta regionale. </w:t>
      </w:r>
      <w:r w:rsidR="00D6401D" w:rsidRPr="00F900BE">
        <w:rPr>
          <w:rFonts w:ascii="Garamond" w:hAnsi="Garamond" w:cs="Times New Roman"/>
          <w:sz w:val="23"/>
          <w:szCs w:val="23"/>
        </w:rPr>
        <w:t>T</w:t>
      </w:r>
      <w:r w:rsidR="007A57AE" w:rsidRPr="00F900BE">
        <w:rPr>
          <w:rFonts w:ascii="Garamond" w:hAnsi="Garamond" w:cs="Times New Roman"/>
          <w:sz w:val="23"/>
          <w:szCs w:val="23"/>
        </w:rPr>
        <w:t xml:space="preserve">ra le previsioni del </w:t>
      </w:r>
      <w:r w:rsidR="00990D41" w:rsidRPr="00F900BE">
        <w:rPr>
          <w:rFonts w:ascii="Garamond" w:hAnsi="Garamond" w:cs="Times New Roman"/>
          <w:sz w:val="23"/>
          <w:szCs w:val="23"/>
        </w:rPr>
        <w:t>d</w:t>
      </w:r>
      <w:r w:rsidR="007A57AE" w:rsidRPr="00F900BE">
        <w:rPr>
          <w:rFonts w:ascii="Garamond" w:hAnsi="Garamond" w:cs="Times New Roman"/>
          <w:sz w:val="23"/>
          <w:szCs w:val="23"/>
        </w:rPr>
        <w:t xml:space="preserve">isciplinare è stata inserita quella relativa al c.d. </w:t>
      </w:r>
      <w:r w:rsidR="00D6401D" w:rsidRPr="00F900BE">
        <w:rPr>
          <w:rFonts w:ascii="Garamond" w:hAnsi="Garamond" w:cs="Times New Roman"/>
          <w:sz w:val="23"/>
          <w:szCs w:val="23"/>
        </w:rPr>
        <w:t>“</w:t>
      </w:r>
      <w:r w:rsidR="007A57AE" w:rsidRPr="00F900BE">
        <w:rPr>
          <w:rFonts w:ascii="Garamond" w:hAnsi="Garamond" w:cs="Times New Roman"/>
          <w:sz w:val="23"/>
          <w:szCs w:val="23"/>
        </w:rPr>
        <w:t>periodo di raffreddamento</w:t>
      </w:r>
      <w:r w:rsidR="00D6401D" w:rsidRPr="00F900BE">
        <w:rPr>
          <w:rFonts w:ascii="Garamond" w:hAnsi="Garamond" w:cs="Times New Roman"/>
          <w:sz w:val="23"/>
          <w:szCs w:val="23"/>
        </w:rPr>
        <w:t>”</w:t>
      </w:r>
      <w:r w:rsidR="00990D41" w:rsidRPr="00F900BE">
        <w:rPr>
          <w:rFonts w:ascii="Garamond" w:hAnsi="Garamond" w:cs="Times New Roman"/>
          <w:sz w:val="23"/>
          <w:szCs w:val="23"/>
        </w:rPr>
        <w:t>; come infatti stabilito</w:t>
      </w:r>
      <w:r w:rsidR="007A57AE" w:rsidRPr="00F900BE">
        <w:rPr>
          <w:rFonts w:ascii="Garamond" w:hAnsi="Garamond" w:cs="Times New Roman"/>
          <w:sz w:val="23"/>
          <w:szCs w:val="23"/>
        </w:rPr>
        <w:t xml:space="preserve"> al paragrafo 7.2, </w:t>
      </w:r>
      <w:proofErr w:type="spellStart"/>
      <w:r w:rsidR="007A57AE" w:rsidRPr="00F900BE">
        <w:rPr>
          <w:rFonts w:ascii="Garamond" w:hAnsi="Garamond" w:cs="Times New Roman"/>
          <w:sz w:val="23"/>
          <w:szCs w:val="23"/>
        </w:rPr>
        <w:t>lett</w:t>
      </w:r>
      <w:proofErr w:type="spellEnd"/>
      <w:r w:rsidR="007A57AE" w:rsidRPr="00F900BE">
        <w:rPr>
          <w:rFonts w:ascii="Garamond" w:hAnsi="Garamond" w:cs="Times New Roman"/>
          <w:sz w:val="23"/>
          <w:szCs w:val="23"/>
        </w:rPr>
        <w:t>. c) dell’</w:t>
      </w:r>
      <w:r w:rsidR="007A57AE" w:rsidRPr="00F900BE">
        <w:rPr>
          <w:rFonts w:ascii="Garamond" w:hAnsi="Garamond" w:cs="Times New Roman"/>
          <w:i/>
          <w:iCs/>
          <w:sz w:val="23"/>
          <w:szCs w:val="23"/>
        </w:rPr>
        <w:t xml:space="preserve">Allegato 1 </w:t>
      </w:r>
      <w:r w:rsidR="007A57AE" w:rsidRPr="00F900BE">
        <w:rPr>
          <w:rFonts w:ascii="Garamond" w:hAnsi="Garamond" w:cs="Times New Roman"/>
          <w:sz w:val="23"/>
          <w:szCs w:val="23"/>
        </w:rPr>
        <w:t xml:space="preserve">alla prefata D.G.R. 264/2020: </w:t>
      </w:r>
      <w:r w:rsidR="007A57AE" w:rsidRPr="00F900BE">
        <w:rPr>
          <w:rFonts w:ascii="Garamond" w:hAnsi="Garamond" w:cs="Times New Roman"/>
          <w:i/>
          <w:iCs/>
          <w:sz w:val="23"/>
          <w:szCs w:val="23"/>
        </w:rPr>
        <w:t>“il Dirigente che ha svolto il proprio incarico per la durata massima stabilita dal Disciplinare non potrà essere assegnato alla cura dei medesimi processi prima che siano trascorsi due anni dalla intervenuta scadenza”.</w:t>
      </w:r>
      <w:r w:rsidR="007A57AE" w:rsidRPr="00F900BE">
        <w:rPr>
          <w:rFonts w:ascii="Garamond" w:hAnsi="Garamond" w:cs="Times New Roman"/>
          <w:sz w:val="23"/>
          <w:szCs w:val="23"/>
        </w:rPr>
        <w:t xml:space="preserve"> </w:t>
      </w:r>
    </w:p>
    <w:p w14:paraId="47C1DB7C" w14:textId="76455228" w:rsidR="007A57AE" w:rsidRPr="00F900BE" w:rsidRDefault="007A57AE" w:rsidP="00582EFE">
      <w:pPr>
        <w:tabs>
          <w:tab w:val="left" w:pos="9354"/>
        </w:tabs>
        <w:spacing w:after="0" w:line="276" w:lineRule="auto"/>
        <w:ind w:right="-1"/>
        <w:jc w:val="both"/>
        <w:rPr>
          <w:rFonts w:ascii="Garamond" w:hAnsi="Garamond" w:cs="Times New Roman"/>
          <w:sz w:val="23"/>
          <w:szCs w:val="23"/>
        </w:rPr>
      </w:pPr>
      <w:r w:rsidRPr="00F900BE">
        <w:rPr>
          <w:rFonts w:ascii="Garamond" w:hAnsi="Garamond" w:cs="Times New Roman"/>
          <w:sz w:val="23"/>
          <w:szCs w:val="23"/>
        </w:rPr>
        <w:t xml:space="preserve">Nel vigente </w:t>
      </w:r>
      <w:r w:rsidR="00990D41" w:rsidRPr="00F900BE">
        <w:rPr>
          <w:rFonts w:ascii="Garamond" w:hAnsi="Garamond" w:cs="Times New Roman"/>
          <w:sz w:val="23"/>
          <w:szCs w:val="23"/>
        </w:rPr>
        <w:t>d</w:t>
      </w:r>
      <w:r w:rsidRPr="00F900BE">
        <w:rPr>
          <w:rFonts w:ascii="Garamond" w:hAnsi="Garamond" w:cs="Times New Roman"/>
          <w:sz w:val="23"/>
          <w:szCs w:val="23"/>
        </w:rPr>
        <w:t xml:space="preserve">isciplinare, inoltre, la durata massima degli incarichi dirigenziali è correlata al rischio di corruzione specifico dei singoli processi.  Il livello di rischio è articolato su tre fasce </w:t>
      </w:r>
      <w:r w:rsidR="0010461B" w:rsidRPr="00F900BE">
        <w:rPr>
          <w:rFonts w:ascii="Garamond" w:hAnsi="Garamond" w:cs="Times New Roman"/>
          <w:sz w:val="23"/>
          <w:szCs w:val="23"/>
        </w:rPr>
        <w:t>(</w:t>
      </w:r>
      <w:r w:rsidRPr="00F900BE">
        <w:rPr>
          <w:rFonts w:ascii="Garamond" w:hAnsi="Garamond" w:cs="Times New Roman"/>
          <w:sz w:val="23"/>
          <w:szCs w:val="23"/>
        </w:rPr>
        <w:t xml:space="preserve">Rischio specifico </w:t>
      </w:r>
      <w:r w:rsidR="0010461B" w:rsidRPr="00F900BE">
        <w:rPr>
          <w:rFonts w:ascii="Garamond" w:hAnsi="Garamond" w:cs="Times New Roman"/>
          <w:iCs/>
          <w:sz w:val="20"/>
          <w:szCs w:val="20"/>
        </w:rPr>
        <w:t xml:space="preserve">ALTO, MEDIO, </w:t>
      </w:r>
      <w:r w:rsidRPr="00F900BE">
        <w:rPr>
          <w:rFonts w:ascii="Garamond" w:hAnsi="Garamond" w:cs="Times New Roman"/>
          <w:iCs/>
          <w:sz w:val="20"/>
          <w:szCs w:val="20"/>
        </w:rPr>
        <w:t>BASSO</w:t>
      </w:r>
      <w:r w:rsidR="0010461B" w:rsidRPr="00F900BE">
        <w:rPr>
          <w:rFonts w:ascii="Garamond" w:hAnsi="Garamond" w:cs="Times New Roman"/>
          <w:sz w:val="23"/>
          <w:szCs w:val="23"/>
        </w:rPr>
        <w:t>)</w:t>
      </w:r>
      <w:r w:rsidRPr="00F900BE">
        <w:rPr>
          <w:rFonts w:ascii="Garamond" w:hAnsi="Garamond" w:cs="Times New Roman"/>
          <w:sz w:val="23"/>
          <w:szCs w:val="23"/>
        </w:rPr>
        <w:t xml:space="preserve"> in corrispondenza delle quali la durata massima degli incarichi dirigenziali è stabilita come nella tabella sotto riportata:</w:t>
      </w:r>
    </w:p>
    <w:p w14:paraId="7A02C872" w14:textId="70A52B86" w:rsidR="008305CE" w:rsidRDefault="008305CE" w:rsidP="00582EFE">
      <w:pPr>
        <w:tabs>
          <w:tab w:val="left" w:pos="9354"/>
        </w:tabs>
        <w:spacing w:after="0" w:line="276" w:lineRule="auto"/>
        <w:ind w:right="-1"/>
        <w:jc w:val="both"/>
        <w:rPr>
          <w:rFonts w:ascii="Garamond" w:hAnsi="Garamond" w:cs="Times New Roman"/>
          <w:sz w:val="23"/>
          <w:szCs w:val="23"/>
        </w:rPr>
      </w:pPr>
    </w:p>
    <w:p w14:paraId="0B8396AA" w14:textId="77777777" w:rsidR="00C377D6" w:rsidRPr="00F900BE" w:rsidRDefault="00C377D6" w:rsidP="00582EFE">
      <w:pPr>
        <w:tabs>
          <w:tab w:val="left" w:pos="9354"/>
        </w:tabs>
        <w:spacing w:after="0" w:line="276" w:lineRule="auto"/>
        <w:ind w:right="-1"/>
        <w:jc w:val="both"/>
        <w:rPr>
          <w:rFonts w:ascii="Garamond" w:hAnsi="Garamond" w:cs="Times New Roman"/>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681"/>
        <w:gridCol w:w="2244"/>
      </w:tblGrid>
      <w:tr w:rsidR="007A57AE" w:rsidRPr="00F900BE" w14:paraId="7328ED56" w14:textId="77777777" w:rsidTr="0010461B">
        <w:trPr>
          <w:trHeight w:val="721"/>
          <w:jc w:val="center"/>
        </w:trPr>
        <w:tc>
          <w:tcPr>
            <w:tcW w:w="3121" w:type="dxa"/>
            <w:vAlign w:val="center"/>
          </w:tcPr>
          <w:p w14:paraId="57D0B320" w14:textId="77777777" w:rsidR="007A57AE" w:rsidRPr="00F900BE" w:rsidRDefault="007A57AE" w:rsidP="00582EFE">
            <w:pPr>
              <w:tabs>
                <w:tab w:val="left" w:pos="9354"/>
              </w:tabs>
              <w:spacing w:after="0" w:line="276" w:lineRule="auto"/>
              <w:ind w:left="4" w:right="-1"/>
              <w:jc w:val="center"/>
              <w:rPr>
                <w:rFonts w:ascii="Garamond" w:hAnsi="Garamond" w:cs="Times New Roman"/>
                <w:b/>
                <w:bCs/>
                <w:sz w:val="23"/>
                <w:szCs w:val="23"/>
              </w:rPr>
            </w:pPr>
            <w:r w:rsidRPr="00F900BE">
              <w:rPr>
                <w:rFonts w:ascii="Garamond" w:hAnsi="Garamond" w:cs="Times New Roman"/>
                <w:b/>
                <w:bCs/>
                <w:sz w:val="23"/>
                <w:szCs w:val="23"/>
              </w:rPr>
              <w:lastRenderedPageBreak/>
              <w:t>Livello di rischio</w:t>
            </w:r>
          </w:p>
        </w:tc>
        <w:tc>
          <w:tcPr>
            <w:tcW w:w="2681" w:type="dxa"/>
            <w:vAlign w:val="center"/>
          </w:tcPr>
          <w:p w14:paraId="7C74BA3F" w14:textId="61EF84F1" w:rsidR="007A57AE" w:rsidRPr="00F900BE" w:rsidRDefault="007A57AE" w:rsidP="00582EFE">
            <w:pPr>
              <w:tabs>
                <w:tab w:val="left" w:pos="9354"/>
              </w:tabs>
              <w:spacing w:after="0" w:line="276" w:lineRule="auto"/>
              <w:ind w:left="4" w:right="-1"/>
              <w:jc w:val="center"/>
              <w:rPr>
                <w:rFonts w:ascii="Garamond" w:hAnsi="Garamond" w:cs="Times New Roman"/>
                <w:b/>
                <w:bCs/>
                <w:sz w:val="23"/>
                <w:szCs w:val="23"/>
              </w:rPr>
            </w:pPr>
            <w:r w:rsidRPr="00F900BE">
              <w:rPr>
                <w:rFonts w:ascii="Garamond" w:hAnsi="Garamond" w:cs="Times New Roman"/>
                <w:b/>
                <w:bCs/>
                <w:sz w:val="23"/>
                <w:szCs w:val="23"/>
              </w:rPr>
              <w:t>Tipologia di incarico</w:t>
            </w:r>
          </w:p>
        </w:tc>
        <w:tc>
          <w:tcPr>
            <w:tcW w:w="2244" w:type="dxa"/>
            <w:vAlign w:val="center"/>
          </w:tcPr>
          <w:p w14:paraId="251A0B1C" w14:textId="3CCBF009" w:rsidR="007A57AE" w:rsidRPr="00F900BE" w:rsidRDefault="007A57AE" w:rsidP="00582EFE">
            <w:pPr>
              <w:tabs>
                <w:tab w:val="left" w:pos="9354"/>
              </w:tabs>
              <w:spacing w:after="0" w:line="276" w:lineRule="auto"/>
              <w:ind w:left="4" w:right="-1"/>
              <w:jc w:val="center"/>
              <w:rPr>
                <w:rFonts w:ascii="Garamond" w:hAnsi="Garamond" w:cs="Times New Roman"/>
                <w:b/>
                <w:bCs/>
                <w:sz w:val="23"/>
                <w:szCs w:val="23"/>
              </w:rPr>
            </w:pPr>
            <w:r w:rsidRPr="00F900BE">
              <w:rPr>
                <w:rFonts w:ascii="Garamond" w:hAnsi="Garamond" w:cs="Times New Roman"/>
                <w:b/>
                <w:bCs/>
                <w:sz w:val="23"/>
                <w:szCs w:val="23"/>
              </w:rPr>
              <w:t>Durata massima</w:t>
            </w:r>
          </w:p>
        </w:tc>
      </w:tr>
      <w:tr w:rsidR="007A57AE" w:rsidRPr="00F900BE" w14:paraId="65E47C3C" w14:textId="77777777" w:rsidTr="0010461B">
        <w:trPr>
          <w:trHeight w:val="572"/>
          <w:jc w:val="center"/>
        </w:trPr>
        <w:tc>
          <w:tcPr>
            <w:tcW w:w="3121" w:type="dxa"/>
          </w:tcPr>
          <w:p w14:paraId="0425F6FB" w14:textId="77777777" w:rsidR="007A57AE" w:rsidRPr="00F900BE" w:rsidRDefault="007A57AE" w:rsidP="00582EFE">
            <w:pPr>
              <w:tabs>
                <w:tab w:val="left" w:pos="9354"/>
              </w:tabs>
              <w:spacing w:after="0" w:line="276" w:lineRule="auto"/>
              <w:ind w:left="4" w:right="-1"/>
              <w:jc w:val="center"/>
              <w:rPr>
                <w:rFonts w:ascii="Garamond" w:hAnsi="Garamond" w:cs="Times New Roman"/>
                <w:b/>
                <w:bCs/>
                <w:sz w:val="23"/>
                <w:szCs w:val="23"/>
              </w:rPr>
            </w:pPr>
            <w:r w:rsidRPr="00F900BE">
              <w:rPr>
                <w:rFonts w:ascii="Garamond" w:hAnsi="Garamond" w:cs="Times New Roman"/>
                <w:b/>
                <w:bCs/>
                <w:sz w:val="23"/>
                <w:szCs w:val="23"/>
              </w:rPr>
              <w:t>Rischio Specifico ALTO</w:t>
            </w:r>
          </w:p>
          <w:p w14:paraId="3F809CAD" w14:textId="77777777" w:rsidR="007A57AE" w:rsidRPr="00F900BE" w:rsidRDefault="007A57AE" w:rsidP="00582EFE">
            <w:pPr>
              <w:tabs>
                <w:tab w:val="left" w:pos="9354"/>
              </w:tabs>
              <w:spacing w:after="0" w:line="276" w:lineRule="auto"/>
              <w:ind w:left="4" w:right="-1"/>
              <w:jc w:val="center"/>
              <w:rPr>
                <w:rFonts w:ascii="Garamond" w:hAnsi="Garamond" w:cs="Times New Roman"/>
                <w:b/>
                <w:bCs/>
                <w:sz w:val="23"/>
                <w:szCs w:val="23"/>
              </w:rPr>
            </w:pPr>
            <w:r w:rsidRPr="00F900BE">
              <w:rPr>
                <w:rFonts w:ascii="Garamond" w:hAnsi="Garamond" w:cs="Times New Roman"/>
                <w:b/>
                <w:bCs/>
                <w:sz w:val="23"/>
                <w:szCs w:val="23"/>
              </w:rPr>
              <w:t>(Area Rossa)</w:t>
            </w:r>
          </w:p>
        </w:tc>
        <w:tc>
          <w:tcPr>
            <w:tcW w:w="2681" w:type="dxa"/>
            <w:vAlign w:val="center"/>
          </w:tcPr>
          <w:p w14:paraId="44077A1B" w14:textId="77777777" w:rsidR="007A57AE" w:rsidRPr="00F900BE" w:rsidRDefault="007A57AE" w:rsidP="00582EFE">
            <w:pPr>
              <w:tabs>
                <w:tab w:val="left" w:pos="9354"/>
              </w:tabs>
              <w:spacing w:after="0" w:line="276" w:lineRule="auto"/>
              <w:ind w:left="4" w:right="-1"/>
              <w:jc w:val="center"/>
              <w:rPr>
                <w:rFonts w:ascii="Garamond" w:hAnsi="Garamond" w:cs="Times New Roman"/>
                <w:b/>
                <w:bCs/>
                <w:sz w:val="23"/>
                <w:szCs w:val="23"/>
              </w:rPr>
            </w:pPr>
            <w:r w:rsidRPr="00F900BE">
              <w:rPr>
                <w:rFonts w:ascii="Garamond" w:hAnsi="Garamond" w:cs="Times New Roman"/>
                <w:b/>
                <w:bCs/>
                <w:sz w:val="23"/>
                <w:szCs w:val="23"/>
              </w:rPr>
              <w:t>Dirigenti</w:t>
            </w:r>
          </w:p>
        </w:tc>
        <w:tc>
          <w:tcPr>
            <w:tcW w:w="2244" w:type="dxa"/>
            <w:vAlign w:val="center"/>
          </w:tcPr>
          <w:p w14:paraId="6DE42ECE" w14:textId="77777777" w:rsidR="007A57AE" w:rsidRPr="00F900BE" w:rsidRDefault="007A57AE" w:rsidP="00582EFE">
            <w:pPr>
              <w:tabs>
                <w:tab w:val="left" w:pos="9354"/>
              </w:tabs>
              <w:spacing w:after="0" w:line="276" w:lineRule="auto"/>
              <w:ind w:left="4" w:right="-1"/>
              <w:jc w:val="center"/>
              <w:rPr>
                <w:rFonts w:ascii="Garamond" w:hAnsi="Garamond" w:cs="Times New Roman"/>
                <w:b/>
                <w:bCs/>
                <w:sz w:val="23"/>
                <w:szCs w:val="23"/>
              </w:rPr>
            </w:pPr>
            <w:r w:rsidRPr="00F900BE">
              <w:rPr>
                <w:rFonts w:ascii="Garamond" w:hAnsi="Garamond" w:cs="Times New Roman"/>
                <w:b/>
                <w:bCs/>
                <w:sz w:val="23"/>
                <w:szCs w:val="23"/>
              </w:rPr>
              <w:t>7 anni</w:t>
            </w:r>
          </w:p>
        </w:tc>
      </w:tr>
      <w:tr w:rsidR="007A57AE" w:rsidRPr="00F900BE" w14:paraId="4A00C53B" w14:textId="77777777" w:rsidTr="0010461B">
        <w:trPr>
          <w:trHeight w:val="527"/>
          <w:jc w:val="center"/>
        </w:trPr>
        <w:tc>
          <w:tcPr>
            <w:tcW w:w="3121" w:type="dxa"/>
          </w:tcPr>
          <w:p w14:paraId="097EFD1D" w14:textId="77777777" w:rsidR="007A57AE" w:rsidRPr="00F900BE" w:rsidRDefault="007A57AE" w:rsidP="00582EFE">
            <w:pPr>
              <w:tabs>
                <w:tab w:val="left" w:pos="9354"/>
              </w:tabs>
              <w:spacing w:after="0" w:line="276" w:lineRule="auto"/>
              <w:ind w:left="4" w:right="-1"/>
              <w:jc w:val="center"/>
              <w:rPr>
                <w:rFonts w:ascii="Garamond" w:hAnsi="Garamond" w:cs="Times New Roman"/>
                <w:b/>
                <w:bCs/>
                <w:sz w:val="23"/>
                <w:szCs w:val="23"/>
              </w:rPr>
            </w:pPr>
            <w:r w:rsidRPr="00F900BE">
              <w:rPr>
                <w:rFonts w:ascii="Garamond" w:hAnsi="Garamond" w:cs="Times New Roman"/>
                <w:b/>
                <w:bCs/>
                <w:sz w:val="23"/>
                <w:szCs w:val="23"/>
              </w:rPr>
              <w:t>Rischio Specifico MEDIO</w:t>
            </w:r>
          </w:p>
          <w:p w14:paraId="67C109EA" w14:textId="77777777" w:rsidR="007A57AE" w:rsidRPr="00F900BE" w:rsidRDefault="007A57AE" w:rsidP="00582EFE">
            <w:pPr>
              <w:tabs>
                <w:tab w:val="left" w:pos="9354"/>
              </w:tabs>
              <w:spacing w:after="0" w:line="276" w:lineRule="auto"/>
              <w:ind w:left="4" w:right="-1"/>
              <w:jc w:val="center"/>
              <w:rPr>
                <w:rFonts w:ascii="Garamond" w:hAnsi="Garamond" w:cs="Times New Roman"/>
                <w:sz w:val="23"/>
                <w:szCs w:val="23"/>
              </w:rPr>
            </w:pPr>
            <w:r w:rsidRPr="00F900BE">
              <w:rPr>
                <w:rFonts w:ascii="Garamond" w:hAnsi="Garamond" w:cs="Times New Roman"/>
                <w:b/>
                <w:bCs/>
                <w:sz w:val="23"/>
                <w:szCs w:val="23"/>
              </w:rPr>
              <w:t>(Area Gialla)</w:t>
            </w:r>
          </w:p>
        </w:tc>
        <w:tc>
          <w:tcPr>
            <w:tcW w:w="2681" w:type="dxa"/>
            <w:vAlign w:val="center"/>
          </w:tcPr>
          <w:p w14:paraId="73A641AD" w14:textId="77777777" w:rsidR="007A57AE" w:rsidRPr="00F900BE" w:rsidRDefault="007A57AE" w:rsidP="00582EFE">
            <w:pPr>
              <w:tabs>
                <w:tab w:val="left" w:pos="9354"/>
              </w:tabs>
              <w:spacing w:after="0" w:line="276" w:lineRule="auto"/>
              <w:ind w:left="4" w:right="-1"/>
              <w:jc w:val="center"/>
              <w:rPr>
                <w:rFonts w:ascii="Garamond" w:hAnsi="Garamond" w:cs="Times New Roman"/>
                <w:sz w:val="23"/>
                <w:szCs w:val="23"/>
              </w:rPr>
            </w:pPr>
            <w:r w:rsidRPr="00F900BE">
              <w:rPr>
                <w:rFonts w:ascii="Garamond" w:hAnsi="Garamond" w:cs="Times New Roman"/>
                <w:b/>
                <w:bCs/>
                <w:sz w:val="23"/>
                <w:szCs w:val="23"/>
              </w:rPr>
              <w:t>Dirigenti</w:t>
            </w:r>
          </w:p>
        </w:tc>
        <w:tc>
          <w:tcPr>
            <w:tcW w:w="2244" w:type="dxa"/>
            <w:vAlign w:val="center"/>
          </w:tcPr>
          <w:p w14:paraId="4C328AB9" w14:textId="77777777" w:rsidR="007A57AE" w:rsidRPr="00F900BE" w:rsidRDefault="007A57AE" w:rsidP="00582EFE">
            <w:pPr>
              <w:tabs>
                <w:tab w:val="left" w:pos="9354"/>
              </w:tabs>
              <w:spacing w:after="0" w:line="276" w:lineRule="auto"/>
              <w:ind w:left="4" w:right="-1"/>
              <w:jc w:val="center"/>
              <w:rPr>
                <w:rFonts w:ascii="Garamond" w:hAnsi="Garamond" w:cs="Times New Roman"/>
                <w:sz w:val="23"/>
                <w:szCs w:val="23"/>
              </w:rPr>
            </w:pPr>
            <w:r w:rsidRPr="00F900BE">
              <w:rPr>
                <w:rFonts w:ascii="Garamond" w:hAnsi="Garamond" w:cs="Times New Roman"/>
                <w:b/>
                <w:bCs/>
                <w:sz w:val="23"/>
                <w:szCs w:val="23"/>
              </w:rPr>
              <w:t>8 anni</w:t>
            </w:r>
          </w:p>
        </w:tc>
      </w:tr>
      <w:tr w:rsidR="007A57AE" w:rsidRPr="00F900BE" w14:paraId="1568D4E8" w14:textId="77777777" w:rsidTr="0010461B">
        <w:trPr>
          <w:trHeight w:val="527"/>
          <w:jc w:val="center"/>
        </w:trPr>
        <w:tc>
          <w:tcPr>
            <w:tcW w:w="3121" w:type="dxa"/>
          </w:tcPr>
          <w:p w14:paraId="1A9B4319" w14:textId="77777777" w:rsidR="007A57AE" w:rsidRPr="00F900BE" w:rsidRDefault="007A57AE" w:rsidP="00582EFE">
            <w:pPr>
              <w:tabs>
                <w:tab w:val="left" w:pos="9354"/>
              </w:tabs>
              <w:spacing w:after="0" w:line="276" w:lineRule="auto"/>
              <w:ind w:left="4" w:right="-1"/>
              <w:jc w:val="center"/>
              <w:rPr>
                <w:rFonts w:ascii="Garamond" w:hAnsi="Garamond" w:cs="Times New Roman"/>
                <w:b/>
                <w:bCs/>
                <w:sz w:val="23"/>
                <w:szCs w:val="23"/>
              </w:rPr>
            </w:pPr>
            <w:r w:rsidRPr="00F900BE">
              <w:rPr>
                <w:rFonts w:ascii="Garamond" w:hAnsi="Garamond" w:cs="Times New Roman"/>
                <w:b/>
                <w:bCs/>
                <w:sz w:val="23"/>
                <w:szCs w:val="23"/>
              </w:rPr>
              <w:t>Rischio Specifico Basso</w:t>
            </w:r>
          </w:p>
          <w:p w14:paraId="5169E7AE" w14:textId="77777777" w:rsidR="007A57AE" w:rsidRPr="00F900BE" w:rsidRDefault="007A57AE" w:rsidP="00582EFE">
            <w:pPr>
              <w:tabs>
                <w:tab w:val="left" w:pos="9354"/>
              </w:tabs>
              <w:spacing w:after="0" w:line="276" w:lineRule="auto"/>
              <w:ind w:left="4" w:right="-1"/>
              <w:jc w:val="center"/>
              <w:rPr>
                <w:rFonts w:ascii="Garamond" w:hAnsi="Garamond" w:cs="Times New Roman"/>
                <w:sz w:val="23"/>
                <w:szCs w:val="23"/>
              </w:rPr>
            </w:pPr>
            <w:r w:rsidRPr="00F900BE">
              <w:rPr>
                <w:rFonts w:ascii="Garamond" w:hAnsi="Garamond" w:cs="Times New Roman"/>
                <w:b/>
                <w:bCs/>
                <w:sz w:val="23"/>
                <w:szCs w:val="23"/>
              </w:rPr>
              <w:t>(Area Verde)</w:t>
            </w:r>
          </w:p>
        </w:tc>
        <w:tc>
          <w:tcPr>
            <w:tcW w:w="2681" w:type="dxa"/>
            <w:vAlign w:val="center"/>
          </w:tcPr>
          <w:p w14:paraId="66E9D0A1" w14:textId="77777777" w:rsidR="007A57AE" w:rsidRPr="00F900BE" w:rsidRDefault="007A57AE" w:rsidP="00582EFE">
            <w:pPr>
              <w:tabs>
                <w:tab w:val="left" w:pos="9354"/>
              </w:tabs>
              <w:spacing w:after="0" w:line="276" w:lineRule="auto"/>
              <w:ind w:left="4" w:right="-1"/>
              <w:jc w:val="center"/>
              <w:rPr>
                <w:rFonts w:ascii="Garamond" w:hAnsi="Garamond" w:cs="Times New Roman"/>
                <w:sz w:val="23"/>
                <w:szCs w:val="23"/>
              </w:rPr>
            </w:pPr>
            <w:r w:rsidRPr="00F900BE">
              <w:rPr>
                <w:rFonts w:ascii="Garamond" w:hAnsi="Garamond" w:cs="Times New Roman"/>
                <w:b/>
                <w:bCs/>
                <w:sz w:val="23"/>
                <w:szCs w:val="23"/>
              </w:rPr>
              <w:t>Dirigenti</w:t>
            </w:r>
          </w:p>
        </w:tc>
        <w:tc>
          <w:tcPr>
            <w:tcW w:w="2244" w:type="dxa"/>
            <w:vAlign w:val="center"/>
          </w:tcPr>
          <w:p w14:paraId="32F5A933" w14:textId="77777777" w:rsidR="007A57AE" w:rsidRPr="00F900BE" w:rsidRDefault="007A57AE" w:rsidP="00582EFE">
            <w:pPr>
              <w:tabs>
                <w:tab w:val="left" w:pos="9354"/>
              </w:tabs>
              <w:spacing w:after="0" w:line="276" w:lineRule="auto"/>
              <w:ind w:left="4" w:right="-1"/>
              <w:jc w:val="center"/>
              <w:rPr>
                <w:rFonts w:ascii="Garamond" w:hAnsi="Garamond" w:cs="Times New Roman"/>
                <w:sz w:val="23"/>
                <w:szCs w:val="23"/>
              </w:rPr>
            </w:pPr>
            <w:r w:rsidRPr="00F900BE">
              <w:rPr>
                <w:rFonts w:ascii="Garamond" w:hAnsi="Garamond" w:cs="Times New Roman"/>
                <w:b/>
                <w:bCs/>
                <w:sz w:val="23"/>
                <w:szCs w:val="23"/>
              </w:rPr>
              <w:t>9 anni</w:t>
            </w:r>
          </w:p>
        </w:tc>
      </w:tr>
    </w:tbl>
    <w:p w14:paraId="71BC97C7" w14:textId="77777777" w:rsidR="007A57AE" w:rsidRPr="00F900BE"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p>
    <w:p w14:paraId="6B17A2C7" w14:textId="072A8B7F" w:rsidR="007A57AE" w:rsidRPr="00F900BE" w:rsidRDefault="007A57AE" w:rsidP="00582EFE">
      <w:pPr>
        <w:autoSpaceDE w:val="0"/>
        <w:autoSpaceDN w:val="0"/>
        <w:adjustRightInd w:val="0"/>
        <w:spacing w:after="0" w:line="276" w:lineRule="auto"/>
        <w:ind w:right="-1"/>
        <w:jc w:val="both"/>
        <w:rPr>
          <w:rFonts w:ascii="Garamond" w:hAnsi="Garamond" w:cs="Times New Roman"/>
          <w:iCs/>
          <w:sz w:val="23"/>
          <w:szCs w:val="23"/>
        </w:rPr>
      </w:pPr>
      <w:r w:rsidRPr="00F900BE">
        <w:rPr>
          <w:rFonts w:ascii="Garamond" w:hAnsi="Garamond" w:cs="Times New Roman"/>
          <w:sz w:val="23"/>
          <w:szCs w:val="23"/>
        </w:rPr>
        <w:t xml:space="preserve">Quanto alla concreta applicazione della Misura, la disposizione contenuta sempre al paragrafo 7.2, della successiva </w:t>
      </w:r>
      <w:proofErr w:type="spellStart"/>
      <w:r w:rsidRPr="00F900BE">
        <w:rPr>
          <w:rFonts w:ascii="Garamond" w:hAnsi="Garamond" w:cs="Times New Roman"/>
          <w:sz w:val="23"/>
          <w:szCs w:val="23"/>
        </w:rPr>
        <w:t>lett</w:t>
      </w:r>
      <w:proofErr w:type="spellEnd"/>
      <w:r w:rsidRPr="00F900BE">
        <w:rPr>
          <w:rFonts w:ascii="Garamond" w:hAnsi="Garamond" w:cs="Times New Roman"/>
          <w:sz w:val="23"/>
          <w:szCs w:val="23"/>
        </w:rPr>
        <w:t>. k) stabilisce: “</w:t>
      </w:r>
      <w:r w:rsidRPr="00F900BE">
        <w:rPr>
          <w:rFonts w:ascii="Garamond" w:hAnsi="Garamond" w:cs="Times New Roman"/>
          <w:i/>
          <w:iCs/>
          <w:sz w:val="23"/>
          <w:szCs w:val="23"/>
        </w:rPr>
        <w:t xml:space="preserve">nelle more della definizione dei livelli di rischio di cui alla precedente </w:t>
      </w:r>
      <w:proofErr w:type="spellStart"/>
      <w:r w:rsidRPr="00F900BE">
        <w:rPr>
          <w:rFonts w:ascii="Garamond" w:hAnsi="Garamond" w:cs="Times New Roman"/>
          <w:i/>
          <w:iCs/>
          <w:sz w:val="23"/>
          <w:szCs w:val="23"/>
        </w:rPr>
        <w:t>lett</w:t>
      </w:r>
      <w:proofErr w:type="spellEnd"/>
      <w:r w:rsidRPr="00F900BE">
        <w:rPr>
          <w:rFonts w:ascii="Garamond" w:hAnsi="Garamond" w:cs="Times New Roman"/>
          <w:i/>
          <w:iCs/>
          <w:sz w:val="23"/>
          <w:szCs w:val="23"/>
        </w:rPr>
        <w:t>. e), nel conferimento degli incarichi - in attuazione della D.G.R. n.</w:t>
      </w:r>
      <w:r w:rsidR="00990D41" w:rsidRPr="00F900BE">
        <w:rPr>
          <w:rFonts w:ascii="Garamond" w:hAnsi="Garamond" w:cs="Times New Roman"/>
          <w:i/>
          <w:iCs/>
          <w:sz w:val="23"/>
          <w:szCs w:val="23"/>
        </w:rPr>
        <w:t xml:space="preserve"> </w:t>
      </w:r>
      <w:r w:rsidRPr="00F900BE">
        <w:rPr>
          <w:rFonts w:ascii="Garamond" w:hAnsi="Garamond" w:cs="Times New Roman"/>
          <w:i/>
          <w:iCs/>
          <w:sz w:val="23"/>
          <w:szCs w:val="23"/>
        </w:rPr>
        <w:t>386/2019 – i soggetti valutatori verificano che il soggetto cui l’amministrazione intende conferire l’incarico non abbia superato 8 (otto) anni di permanenza, nell’ambito dei medesimi Servizi titolari di processi di livello Alto rischio o Medio rischio; in particolare i soggetti valutatori garantiscono che il soggetto cui l’amministrazione intende conferire l’incarico non venga assegnato a Servizi che, seppure diversamente denominati, rispetto a quelli precedentemente diretti sono chiamati a gestire i medesimi processi e nei confronti dei medesimi Stakeholder, rispetto ai quali il soggetto interessato ha maturato 8 (otto)  anni di permanenza”.</w:t>
      </w:r>
    </w:p>
    <w:p w14:paraId="4F828FB3" w14:textId="23FE9491" w:rsidR="00F900BE" w:rsidRPr="00514EAC" w:rsidRDefault="00F900BE" w:rsidP="00F900BE">
      <w:pPr>
        <w:tabs>
          <w:tab w:val="left" w:pos="9356"/>
        </w:tabs>
        <w:autoSpaceDE w:val="0"/>
        <w:autoSpaceDN w:val="0"/>
        <w:adjustRightInd w:val="0"/>
        <w:spacing w:after="0" w:line="276" w:lineRule="auto"/>
        <w:ind w:right="-1"/>
        <w:jc w:val="both"/>
        <w:rPr>
          <w:rFonts w:ascii="Garamond" w:hAnsi="Garamond" w:cs="Times New Roman"/>
          <w:color w:val="00B050"/>
          <w:sz w:val="23"/>
          <w:szCs w:val="23"/>
        </w:rPr>
      </w:pPr>
      <w:r w:rsidRPr="00514EAC">
        <w:rPr>
          <w:rFonts w:ascii="Garamond" w:hAnsi="Garamond" w:cs="Times New Roman"/>
          <w:sz w:val="23"/>
          <w:szCs w:val="23"/>
        </w:rPr>
        <w:t>I</w:t>
      </w:r>
      <w:r w:rsidR="00172B58" w:rsidRPr="00514EAC">
        <w:rPr>
          <w:rFonts w:ascii="Garamond" w:hAnsi="Garamond" w:cs="Times New Roman"/>
          <w:sz w:val="23"/>
          <w:szCs w:val="23"/>
        </w:rPr>
        <w:t xml:space="preserve">l RPCT, preso atto del fatto che con il processo di riorganizzazione dell'Ente svolto, nell’attuale legislatura e a partire dall'anno 2020, è stata effettuata una cospicua rotazione del personale dirigenziale, ha avviato specifiche interlocuzioni con la Direzione Generale, i Dipartimenti e i Servizi Autonomi e con nota </w:t>
      </w:r>
      <w:proofErr w:type="spellStart"/>
      <w:r w:rsidR="00172B58" w:rsidRPr="00514EAC">
        <w:rPr>
          <w:rFonts w:ascii="Garamond" w:hAnsi="Garamond" w:cs="Times New Roman"/>
          <w:sz w:val="23"/>
          <w:szCs w:val="23"/>
        </w:rPr>
        <w:t>prot</w:t>
      </w:r>
      <w:proofErr w:type="spellEnd"/>
      <w:r w:rsidR="00172B58" w:rsidRPr="00514EAC">
        <w:rPr>
          <w:rFonts w:ascii="Garamond" w:hAnsi="Garamond" w:cs="Times New Roman"/>
          <w:sz w:val="23"/>
          <w:szCs w:val="23"/>
        </w:rPr>
        <w:t xml:space="preserve">. n. 0203818/22 del 24/05/2022 ha </w:t>
      </w:r>
      <w:r w:rsidRPr="00514EAC">
        <w:rPr>
          <w:rFonts w:ascii="Garamond" w:hAnsi="Garamond" w:cs="Times New Roman"/>
          <w:sz w:val="23"/>
          <w:szCs w:val="23"/>
        </w:rPr>
        <w:t xml:space="preserve">evidenziato come non si avesse contezza del fatto che fossero stati definiti i livelli di rischio delle posizioni dirigenziali ai sensi del citato par. 7.2 della DGR 264/2020 per la determinazione dei tempi di durata massima dei relativi incarichi. Ha inoltre evidenziato come sia urgente che il Dipartimento competente in materia di Organizzazione, acquisita la puntuale esplicitazione da parte di ogni Dipartimento/Servizio Autonomo dei processi mappati svolti dai medesimi e da ciascuna dipendente articolazione organizzativa, stabilisca in quale livello di rischio si collochi ciascuna posizione dirigenziale, e ciò tenendo anche conto del fatto che alla medesima possano far capo processi che il PTPCT colloca in livelli di rischio diversi. </w:t>
      </w:r>
      <w:r w:rsidR="006877D1" w:rsidRPr="00514EAC">
        <w:rPr>
          <w:rFonts w:ascii="Garamond" w:hAnsi="Garamond" w:cs="Times New Roman"/>
          <w:sz w:val="23"/>
          <w:szCs w:val="23"/>
        </w:rPr>
        <w:t>Inoltre, a</w:t>
      </w:r>
      <w:r w:rsidRPr="00514EAC">
        <w:rPr>
          <w:rFonts w:ascii="Garamond" w:hAnsi="Garamond" w:cs="Times New Roman"/>
          <w:sz w:val="23"/>
          <w:szCs w:val="23"/>
        </w:rPr>
        <w:t xml:space="preserve">l fine di fornire un utile contributo allo svolgimento delle attività di riconduzione dei processi alle articolazioni organizzative soggette a rotazione, il RPCT ha predisposto e trasmesso a ciascun Dipartimento e Servizio Autonomo, con nota </w:t>
      </w:r>
      <w:proofErr w:type="spellStart"/>
      <w:r w:rsidRPr="00514EAC">
        <w:rPr>
          <w:rFonts w:ascii="Garamond" w:hAnsi="Garamond" w:cs="Times New Roman"/>
          <w:sz w:val="23"/>
          <w:szCs w:val="23"/>
        </w:rPr>
        <w:t>prot</w:t>
      </w:r>
      <w:proofErr w:type="spellEnd"/>
      <w:r w:rsidRPr="00514EAC">
        <w:rPr>
          <w:rFonts w:ascii="Garamond" w:hAnsi="Garamond" w:cs="Times New Roman"/>
          <w:sz w:val="23"/>
          <w:szCs w:val="23"/>
        </w:rPr>
        <w:t>. n. 206787 del 26/05/2022, l’elencazione dei processi di spettanza e i correlati livelli di rischio, desunti dal PTPCT 2022/2024.</w:t>
      </w:r>
      <w:r w:rsidR="00514EAC">
        <w:rPr>
          <w:rFonts w:ascii="Garamond" w:hAnsi="Garamond" w:cs="Times New Roman"/>
          <w:sz w:val="23"/>
          <w:szCs w:val="23"/>
        </w:rPr>
        <w:t xml:space="preserve"> </w:t>
      </w:r>
    </w:p>
    <w:p w14:paraId="093DE9F6" w14:textId="027C4CC3" w:rsidR="007A57AE" w:rsidRPr="00D86DC5" w:rsidRDefault="007A57AE" w:rsidP="00582EFE">
      <w:pPr>
        <w:tabs>
          <w:tab w:val="left" w:pos="9356"/>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L’istituto della </w:t>
      </w:r>
      <w:r w:rsidRPr="0010461B">
        <w:rPr>
          <w:rFonts w:ascii="Garamond" w:hAnsi="Garamond" w:cs="Times New Roman"/>
          <w:iCs/>
          <w:sz w:val="23"/>
          <w:szCs w:val="23"/>
        </w:rPr>
        <w:t>rotazione “straordinaria”</w:t>
      </w:r>
      <w:r w:rsidRPr="00D86DC5">
        <w:rPr>
          <w:rFonts w:ascii="Garamond" w:hAnsi="Garamond" w:cs="Times New Roman"/>
          <w:sz w:val="23"/>
          <w:szCs w:val="23"/>
        </w:rPr>
        <w:t xml:space="preserve"> è previsto dall’art. 16, co. 1, </w:t>
      </w:r>
      <w:proofErr w:type="spellStart"/>
      <w:r w:rsidRPr="00D86DC5">
        <w:rPr>
          <w:rFonts w:ascii="Garamond" w:hAnsi="Garamond" w:cs="Times New Roman"/>
          <w:sz w:val="23"/>
          <w:szCs w:val="23"/>
        </w:rPr>
        <w:t>lett</w:t>
      </w:r>
      <w:proofErr w:type="spellEnd"/>
      <w:r w:rsidRPr="00D86DC5">
        <w:rPr>
          <w:rFonts w:ascii="Garamond" w:hAnsi="Garamond" w:cs="Times New Roman"/>
          <w:sz w:val="23"/>
          <w:szCs w:val="23"/>
        </w:rPr>
        <w:t>. l-quater) del D.Lgs.n.165/2001, come misura di carattere successivo al verificarsi di fenomeni corruttivi. La norma citata prevede, infatti, la rotazione “</w:t>
      </w:r>
      <w:r w:rsidRPr="0010461B">
        <w:rPr>
          <w:rFonts w:ascii="Garamond" w:hAnsi="Garamond" w:cs="Times New Roman"/>
          <w:i/>
          <w:sz w:val="23"/>
          <w:szCs w:val="23"/>
        </w:rPr>
        <w:t>del personale nei casi di avvio di procedimenti penali o disciplinari per condotte di natura corruttiva</w:t>
      </w:r>
      <w:r w:rsidRPr="00D86DC5">
        <w:rPr>
          <w:rFonts w:ascii="Garamond" w:hAnsi="Garamond" w:cs="Times New Roman"/>
          <w:sz w:val="23"/>
          <w:szCs w:val="23"/>
        </w:rPr>
        <w:t>”.</w:t>
      </w:r>
    </w:p>
    <w:p w14:paraId="27452882" w14:textId="77777777" w:rsidR="007A57AE" w:rsidRPr="00D86DC5" w:rsidRDefault="007A57AE" w:rsidP="00582EFE">
      <w:pPr>
        <w:tabs>
          <w:tab w:val="left" w:pos="9356"/>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È importante chiarire che detta misura di prevenzione non si associa in alcun modo alla rotazione “ordinaria”.</w:t>
      </w:r>
    </w:p>
    <w:p w14:paraId="232FC82A" w14:textId="5E4909B3" w:rsidR="007A57AE" w:rsidRPr="00D86DC5" w:rsidRDefault="007A57AE" w:rsidP="00582EFE">
      <w:pPr>
        <w:tabs>
          <w:tab w:val="left" w:pos="9356"/>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L’ANAC con la deliberazione n. 215/2019: </w:t>
      </w:r>
      <w:r w:rsidRPr="00D86DC5">
        <w:rPr>
          <w:rFonts w:ascii="Garamond" w:hAnsi="Garamond" w:cs="Times New Roman"/>
          <w:i/>
          <w:iCs/>
          <w:sz w:val="23"/>
          <w:szCs w:val="23"/>
        </w:rPr>
        <w:t xml:space="preserve">“Linee guida in materia di applicazione della misura della rotazione straordinaria di cui all’art. 16, comma 1, lettera l-quater, del </w:t>
      </w:r>
      <w:proofErr w:type="spellStart"/>
      <w:proofErr w:type="gramStart"/>
      <w:r w:rsidRPr="00D86DC5">
        <w:rPr>
          <w:rFonts w:ascii="Garamond" w:hAnsi="Garamond" w:cs="Times New Roman"/>
          <w:i/>
          <w:iCs/>
          <w:sz w:val="23"/>
          <w:szCs w:val="23"/>
        </w:rPr>
        <w:t>D.Lgs</w:t>
      </w:r>
      <w:proofErr w:type="gramEnd"/>
      <w:r w:rsidRPr="00D86DC5">
        <w:rPr>
          <w:rFonts w:ascii="Garamond" w:hAnsi="Garamond" w:cs="Times New Roman"/>
          <w:i/>
          <w:iCs/>
          <w:sz w:val="23"/>
          <w:szCs w:val="23"/>
        </w:rPr>
        <w:t>.</w:t>
      </w:r>
      <w:proofErr w:type="spellEnd"/>
      <w:r w:rsidRPr="00D86DC5">
        <w:rPr>
          <w:rFonts w:ascii="Garamond" w:hAnsi="Garamond" w:cs="Times New Roman"/>
          <w:i/>
          <w:iCs/>
          <w:sz w:val="23"/>
          <w:szCs w:val="23"/>
        </w:rPr>
        <w:t xml:space="preserve"> n. 165 del 2001” </w:t>
      </w:r>
      <w:r w:rsidRPr="00D86DC5">
        <w:rPr>
          <w:rFonts w:ascii="Garamond" w:hAnsi="Garamond" w:cs="Times New Roman"/>
          <w:sz w:val="23"/>
          <w:szCs w:val="23"/>
        </w:rPr>
        <w:t>è intervenuta per puntualizzare il momento del procedimento penale in cui deve essere effettuata la valutazione della condotta del dipendente da parte dell’amministrazione, obbligatoria ai fini dell’applicazione della misura della rotazione straordinaria, assumendo, da ultimo, nell’Aggiornamento 2018 al PNA adottato con Delibera n. 1074 del 21 novembre 2018, che t</w:t>
      </w:r>
      <w:r w:rsidR="0010461B">
        <w:rPr>
          <w:rFonts w:ascii="Garamond" w:hAnsi="Garamond" w:cs="Times New Roman"/>
          <w:sz w:val="23"/>
          <w:szCs w:val="23"/>
        </w:rPr>
        <w:t xml:space="preserve">ale momento potesse coincidere </w:t>
      </w:r>
      <w:r w:rsidRPr="00D86DC5">
        <w:rPr>
          <w:rFonts w:ascii="Garamond" w:hAnsi="Garamond" w:cs="Times New Roman"/>
          <w:sz w:val="23"/>
          <w:szCs w:val="23"/>
        </w:rPr>
        <w:t>con la conoscenza della richiesta di rinvio a giudizio (art. 405-406 e segg. Codice procedura penale) formulata dal Pubblico Ministero al termine delle indagini preliminari, ovvero di atto equipollente (ad esempio, nei procedimenti speciali, dell’atto che instaura il singolo procedimento come la richiesta di giudizio immediato</w:t>
      </w:r>
      <w:r w:rsidR="00544675">
        <w:rPr>
          <w:rFonts w:ascii="Garamond" w:hAnsi="Garamond" w:cs="Times New Roman"/>
          <w:sz w:val="23"/>
          <w:szCs w:val="23"/>
        </w:rPr>
        <w:t>,</w:t>
      </w:r>
      <w:r w:rsidRPr="00D86DC5">
        <w:rPr>
          <w:rFonts w:ascii="Garamond" w:hAnsi="Garamond" w:cs="Times New Roman"/>
          <w:sz w:val="23"/>
          <w:szCs w:val="23"/>
        </w:rPr>
        <w:t xml:space="preserve"> la richiesta di decreto penale di condanna, ovvero la richiesta di applicazione di misure cautelari</w:t>
      </w:r>
      <w:r w:rsidR="00544675">
        <w:rPr>
          <w:rFonts w:ascii="Garamond" w:hAnsi="Garamond" w:cs="Times New Roman"/>
          <w:sz w:val="23"/>
          <w:szCs w:val="23"/>
        </w:rPr>
        <w:t>)</w:t>
      </w:r>
      <w:r w:rsidRPr="00D86DC5">
        <w:rPr>
          <w:rFonts w:ascii="Garamond" w:hAnsi="Garamond" w:cs="Times New Roman"/>
          <w:sz w:val="23"/>
          <w:szCs w:val="23"/>
        </w:rPr>
        <w:t xml:space="preserve">.  </w:t>
      </w:r>
    </w:p>
    <w:p w14:paraId="7B1EAAED" w14:textId="702A3562" w:rsidR="007A57AE" w:rsidRPr="00D86DC5" w:rsidRDefault="007A57AE" w:rsidP="00582EFE">
      <w:pPr>
        <w:tabs>
          <w:tab w:val="left" w:pos="9356"/>
        </w:tabs>
        <w:autoSpaceDE w:val="0"/>
        <w:autoSpaceDN w:val="0"/>
        <w:adjustRightInd w:val="0"/>
        <w:spacing w:after="0" w:line="276" w:lineRule="auto"/>
        <w:ind w:right="-1"/>
        <w:jc w:val="both"/>
        <w:rPr>
          <w:rFonts w:ascii="Garamond" w:hAnsi="Garamond" w:cs="Times New Roman"/>
          <w:i/>
          <w:iCs/>
          <w:sz w:val="23"/>
          <w:szCs w:val="23"/>
        </w:rPr>
      </w:pPr>
      <w:r w:rsidRPr="00D86DC5">
        <w:rPr>
          <w:rFonts w:ascii="Garamond" w:hAnsi="Garamond" w:cs="Times New Roman"/>
          <w:sz w:val="23"/>
          <w:szCs w:val="23"/>
        </w:rPr>
        <w:t>Circa l’ambito afferente ai “</w:t>
      </w:r>
      <w:r w:rsidRPr="00D86DC5">
        <w:rPr>
          <w:rFonts w:ascii="Garamond" w:hAnsi="Garamond" w:cs="Times New Roman"/>
          <w:i/>
          <w:iCs/>
          <w:sz w:val="23"/>
          <w:szCs w:val="23"/>
        </w:rPr>
        <w:t>reati presupposto”</w:t>
      </w:r>
      <w:r w:rsidRPr="00D86DC5">
        <w:rPr>
          <w:rFonts w:ascii="Garamond" w:hAnsi="Garamond" w:cs="Times New Roman"/>
          <w:sz w:val="23"/>
          <w:szCs w:val="23"/>
        </w:rPr>
        <w:t xml:space="preserve"> per l’applicazione della misura, le Linee Guida soprarichiamate  hanno chiarito che  l’elencazione dei reati “per fatti di corruzione” contenuta nell’art. 7 della legge 69 del 2015, </w:t>
      </w:r>
      <w:r w:rsidRPr="00D86DC5">
        <w:rPr>
          <w:rFonts w:ascii="Garamond" w:hAnsi="Garamond" w:cs="Times New Roman"/>
          <w:sz w:val="23"/>
          <w:szCs w:val="23"/>
        </w:rPr>
        <w:lastRenderedPageBreak/>
        <w:t xml:space="preserve">recante: </w:t>
      </w:r>
      <w:r w:rsidRPr="00D86DC5">
        <w:rPr>
          <w:rFonts w:ascii="Garamond" w:hAnsi="Garamond" w:cs="Times New Roman"/>
          <w:i/>
          <w:iCs/>
          <w:sz w:val="23"/>
          <w:szCs w:val="23"/>
        </w:rPr>
        <w:t>“Disposizioni in materia di delitti contro la pubblica amministrazione, di associazioni di tipo mafioso e di falso in bilancio”</w:t>
      </w:r>
      <w:r w:rsidR="00D8270B">
        <w:rPr>
          <w:rFonts w:ascii="Garamond" w:hAnsi="Garamond" w:cs="Times New Roman"/>
          <w:iCs/>
          <w:sz w:val="23"/>
          <w:szCs w:val="23"/>
        </w:rPr>
        <w:t xml:space="preserve"> </w:t>
      </w:r>
      <w:r w:rsidRPr="00D86DC5">
        <w:rPr>
          <w:rFonts w:ascii="Garamond" w:hAnsi="Garamond" w:cs="Times New Roman"/>
          <w:sz w:val="23"/>
          <w:szCs w:val="23"/>
        </w:rPr>
        <w:t>possa essere adottata anche ai fini della individuazione delle “condotte di natura corruttiva” che impongono la misura della rotazione straordinaria, ai sensi del comma 1, lettera l-quater, dell’art. 16 del D.Lgs.165 del 2001.</w:t>
      </w:r>
    </w:p>
    <w:p w14:paraId="53A96C82" w14:textId="77777777" w:rsidR="007A57AE" w:rsidRPr="00D86DC5" w:rsidRDefault="007A57AE" w:rsidP="00582EFE">
      <w:pPr>
        <w:tabs>
          <w:tab w:val="left" w:pos="9356"/>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L’art. 129, co. 3, del </w:t>
      </w:r>
      <w:proofErr w:type="spellStart"/>
      <w:proofErr w:type="gramStart"/>
      <w:r w:rsidRPr="00D86DC5">
        <w:rPr>
          <w:rFonts w:ascii="Garamond" w:hAnsi="Garamond" w:cs="Times New Roman"/>
          <w:sz w:val="23"/>
          <w:szCs w:val="23"/>
        </w:rPr>
        <w:t>D.Lgs</w:t>
      </w:r>
      <w:proofErr w:type="gramEnd"/>
      <w:r w:rsidRPr="00D86DC5">
        <w:rPr>
          <w:rFonts w:ascii="Garamond" w:hAnsi="Garamond" w:cs="Times New Roman"/>
          <w:sz w:val="23"/>
          <w:szCs w:val="23"/>
        </w:rPr>
        <w:t>.</w:t>
      </w:r>
      <w:proofErr w:type="spellEnd"/>
      <w:r w:rsidRPr="00D86DC5">
        <w:rPr>
          <w:rFonts w:ascii="Garamond" w:hAnsi="Garamond" w:cs="Times New Roman"/>
          <w:sz w:val="23"/>
          <w:szCs w:val="23"/>
        </w:rPr>
        <w:t xml:space="preserve"> 271/1989 si inserisce nella disciplina riguardante l’informazione sull’azione penale e stabilisce che il Presidente dell’ANAC sia destinatario delle informative del Pubblico Ministero quando quest’ultimo esercita l’azione penale per i delitti di cui agli articoli 317, 318, 319, 319-bis, 319-ter, 319-quater, 320, 321, 322, 322-bis, 346-bis, 353 e 353-bis del codice penale. </w:t>
      </w:r>
    </w:p>
    <w:p w14:paraId="25B4A85F" w14:textId="77777777" w:rsidR="007A57AE" w:rsidRPr="00D86DC5" w:rsidRDefault="007A57AE" w:rsidP="00582EFE">
      <w:pPr>
        <w:tabs>
          <w:tab w:val="left" w:pos="9356"/>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L’Autorità informata, dunque, dell’esistenza di fatti corruttivi, potrà esercitare i poteri previsti ai sensi dell’art. 1, co. 3, della L. 190/2012, chiedendo all’amministrazione pubblica coinvolta nel processo penale l’attuazione della misura della rotazione. </w:t>
      </w:r>
    </w:p>
    <w:p w14:paraId="1EAC02A1" w14:textId="5AE728C0" w:rsidR="007A57AE" w:rsidRDefault="007A57AE" w:rsidP="00582EFE">
      <w:pPr>
        <w:tabs>
          <w:tab w:val="left" w:pos="9356"/>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La disposizione si rivela particolarmente utile per meglio definire e limitare anche i reati che l’amministrazione è chiamata a tenere in conto ai fini della decisione di far scattare o meno la misura</w:t>
      </w:r>
      <w:r w:rsidR="0015409F">
        <w:rPr>
          <w:rFonts w:ascii="Garamond" w:hAnsi="Garamond" w:cs="Times New Roman"/>
          <w:sz w:val="23"/>
          <w:szCs w:val="23"/>
        </w:rPr>
        <w:t xml:space="preserve"> della rotazione straordinaria.</w:t>
      </w:r>
    </w:p>
    <w:p w14:paraId="38E0F0D8" w14:textId="15BFF5D4" w:rsidR="0015409F" w:rsidRDefault="0015409F" w:rsidP="00582EFE">
      <w:pPr>
        <w:tabs>
          <w:tab w:val="left" w:pos="9356"/>
        </w:tabs>
        <w:autoSpaceDE w:val="0"/>
        <w:autoSpaceDN w:val="0"/>
        <w:adjustRightInd w:val="0"/>
        <w:spacing w:after="0" w:line="276" w:lineRule="auto"/>
        <w:ind w:right="-1"/>
        <w:jc w:val="both"/>
        <w:rPr>
          <w:rFonts w:ascii="Garamond" w:hAnsi="Garamond" w:cs="Times New Roman"/>
          <w:sz w:val="23"/>
          <w:szCs w:val="23"/>
        </w:rPr>
      </w:pPr>
      <w:r w:rsidRPr="0015409F">
        <w:rPr>
          <w:rFonts w:ascii="Garamond" w:hAnsi="Garamond" w:cs="Times New Roman"/>
          <w:sz w:val="23"/>
          <w:szCs w:val="23"/>
        </w:rPr>
        <w:t>L’obbligo di comunicazione, infatti, è disposto in caso di “esercizio dell’azione penale”, solo per i “delitti di cui agli articoli 317 (Concussione), 318 (Corruzione per l'esercizio della funzione), 319 (Corruzione per un atto contrario ai doveri d'ufficio), 319-bis, 319-ter (Corruzione in atti giudiziari), 319-quater (Induzione indebita a dare o promettere utilità), 320 (Corruzione di persona incaricata di un pubblico servizio), 321, 322, 322-bis (Peculato, concussione, induzione indebita a dare o promettere utilità, corruzione e istigazione alla corruzione di membri delle Corti internazionali o degli organi delle Comunità europee o di assemblee parlamentari internazionali o di organizzazioni internazionali e di funzionari delle Comunità europee e di Stati esteri), 346-bis (Traffico di influenze illecite), 353 (Turbata libertà degli incanti) e 353-bis (Turbata libertà del procedimento di scelta del contraente) del codice penale”.</w:t>
      </w:r>
    </w:p>
    <w:p w14:paraId="004675F9" w14:textId="77777777" w:rsidR="00C377D6" w:rsidRPr="0015409F" w:rsidRDefault="00C377D6" w:rsidP="00582EFE">
      <w:pPr>
        <w:tabs>
          <w:tab w:val="left" w:pos="9356"/>
        </w:tabs>
        <w:autoSpaceDE w:val="0"/>
        <w:autoSpaceDN w:val="0"/>
        <w:adjustRightInd w:val="0"/>
        <w:spacing w:after="0" w:line="276" w:lineRule="auto"/>
        <w:ind w:right="-1"/>
        <w:jc w:val="both"/>
        <w:rPr>
          <w:rFonts w:ascii="Garamond" w:hAnsi="Garamond" w:cs="Times New Roman"/>
          <w:sz w:val="23"/>
          <w:szCs w:val="23"/>
        </w:rPr>
      </w:pPr>
    </w:p>
    <w:p w14:paraId="236FE678" w14:textId="5C4E3587" w:rsidR="007A57AE" w:rsidRPr="00926B2D" w:rsidRDefault="007A57AE" w:rsidP="00582EFE">
      <w:pPr>
        <w:spacing w:after="0" w:line="276" w:lineRule="auto"/>
        <w:ind w:right="-1"/>
        <w:jc w:val="both"/>
        <w:rPr>
          <w:rFonts w:ascii="Garamond" w:hAnsi="Garamond" w:cs="Times New Roman"/>
          <w:b/>
          <w:i/>
          <w:sz w:val="23"/>
          <w:szCs w:val="23"/>
        </w:rPr>
      </w:pPr>
      <w:bookmarkStart w:id="44" w:name="_Toc43329225"/>
      <w:bookmarkStart w:id="45" w:name="_Hlk101637380"/>
      <w:r w:rsidRPr="00926B2D">
        <w:rPr>
          <w:rFonts w:ascii="Garamond" w:hAnsi="Garamond" w:cs="Times New Roman"/>
          <w:b/>
          <w:i/>
          <w:sz w:val="23"/>
          <w:szCs w:val="23"/>
        </w:rPr>
        <w:t>Astensione in caso di conflitto d</w:t>
      </w:r>
      <w:r w:rsidR="0093514D">
        <w:rPr>
          <w:rFonts w:ascii="Garamond" w:hAnsi="Garamond" w:cs="Times New Roman"/>
          <w:b/>
          <w:i/>
          <w:sz w:val="23"/>
          <w:szCs w:val="23"/>
        </w:rPr>
        <w:t xml:space="preserve">i </w:t>
      </w:r>
      <w:r w:rsidRPr="00926B2D">
        <w:rPr>
          <w:rFonts w:ascii="Garamond" w:hAnsi="Garamond" w:cs="Times New Roman"/>
          <w:b/>
          <w:i/>
          <w:sz w:val="23"/>
          <w:szCs w:val="23"/>
        </w:rPr>
        <w:t>interesse</w:t>
      </w:r>
      <w:bookmarkEnd w:id="44"/>
      <w:r w:rsidR="0093514D">
        <w:rPr>
          <w:rFonts w:ascii="Garamond" w:hAnsi="Garamond" w:cs="Times New Roman"/>
          <w:b/>
          <w:i/>
          <w:sz w:val="23"/>
          <w:szCs w:val="23"/>
        </w:rPr>
        <w:t xml:space="preserve"> (MG/5)</w:t>
      </w:r>
    </w:p>
    <w:bookmarkEnd w:id="45"/>
    <w:p w14:paraId="16E93C2C" w14:textId="4059D874" w:rsidR="007A57AE" w:rsidRPr="00D86DC5" w:rsidRDefault="00204B89" w:rsidP="00582EFE">
      <w:pPr>
        <w:tabs>
          <w:tab w:val="left" w:pos="9356"/>
        </w:tabs>
        <w:autoSpaceDE w:val="0"/>
        <w:autoSpaceDN w:val="0"/>
        <w:adjustRightInd w:val="0"/>
        <w:spacing w:after="0" w:line="276" w:lineRule="auto"/>
        <w:ind w:right="-1"/>
        <w:jc w:val="both"/>
        <w:rPr>
          <w:rFonts w:ascii="Garamond" w:hAnsi="Garamond" w:cs="Times New Roman"/>
          <w:i/>
          <w:sz w:val="23"/>
          <w:szCs w:val="23"/>
        </w:rPr>
      </w:pPr>
      <w:r>
        <w:rPr>
          <w:rFonts w:ascii="Garamond" w:hAnsi="Garamond" w:cs="Times New Roman"/>
          <w:iCs/>
          <w:sz w:val="23"/>
          <w:szCs w:val="23"/>
        </w:rPr>
        <w:t>L’OCSE ha delineato la seguente definizione: “</w:t>
      </w:r>
      <w:r w:rsidR="007A57AE" w:rsidRPr="00D86DC5">
        <w:rPr>
          <w:rFonts w:ascii="Garamond" w:hAnsi="Garamond" w:cs="Times New Roman"/>
          <w:i/>
          <w:sz w:val="23"/>
          <w:szCs w:val="23"/>
        </w:rPr>
        <w:t>il conflitto di interessi implica un conflitto tra la missione pubblica e gli interessi privati di un funzionario pubblico, in cui quest’ultimo possiede a titolo privato interessi che potrebbero influire indebitamente sull’assolvimento dei suoi obblighi e delle sue responsabilità pubblici.”</w:t>
      </w:r>
    </w:p>
    <w:p w14:paraId="06B3BA86" w14:textId="198E2DD5" w:rsidR="007A57AE" w:rsidRPr="00514EAC" w:rsidRDefault="007A57AE" w:rsidP="00582EFE">
      <w:pPr>
        <w:tabs>
          <w:tab w:val="left" w:pos="9356"/>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Pertanto</w:t>
      </w:r>
      <w:r w:rsidR="00204B89">
        <w:rPr>
          <w:rFonts w:ascii="Garamond" w:hAnsi="Garamond" w:cs="Times New Roman"/>
          <w:iCs/>
          <w:sz w:val="23"/>
          <w:szCs w:val="23"/>
        </w:rPr>
        <w:t>,</w:t>
      </w:r>
      <w:r w:rsidRPr="00D86DC5">
        <w:rPr>
          <w:rFonts w:ascii="Garamond" w:hAnsi="Garamond" w:cs="Times New Roman"/>
          <w:iCs/>
          <w:sz w:val="23"/>
          <w:szCs w:val="23"/>
        </w:rPr>
        <w:t xml:space="preserve"> il tema del conflitto di interessi </w:t>
      </w:r>
      <w:r w:rsidR="00204B89">
        <w:rPr>
          <w:rFonts w:ascii="Garamond" w:hAnsi="Garamond" w:cs="Times New Roman"/>
          <w:iCs/>
          <w:sz w:val="23"/>
          <w:szCs w:val="23"/>
        </w:rPr>
        <w:t>afferisce</w:t>
      </w:r>
      <w:r w:rsidRPr="00D86DC5">
        <w:rPr>
          <w:rFonts w:ascii="Garamond" w:hAnsi="Garamond" w:cs="Times New Roman"/>
          <w:iCs/>
          <w:sz w:val="23"/>
          <w:szCs w:val="23"/>
        </w:rPr>
        <w:t>, in un’ampia</w:t>
      </w:r>
      <w:r w:rsidR="00204B89" w:rsidRPr="00204B89">
        <w:rPr>
          <w:rFonts w:ascii="Garamond" w:hAnsi="Garamond" w:cs="Times New Roman"/>
          <w:iCs/>
          <w:sz w:val="23"/>
          <w:szCs w:val="23"/>
        </w:rPr>
        <w:t xml:space="preserve"> </w:t>
      </w:r>
      <w:r w:rsidR="00204B89" w:rsidRPr="00D86DC5">
        <w:rPr>
          <w:rFonts w:ascii="Garamond" w:hAnsi="Garamond" w:cs="Times New Roman"/>
          <w:iCs/>
          <w:sz w:val="23"/>
          <w:szCs w:val="23"/>
        </w:rPr>
        <w:t>accezione</w:t>
      </w:r>
      <w:r w:rsidRPr="00D86DC5">
        <w:rPr>
          <w:rFonts w:ascii="Garamond" w:hAnsi="Garamond" w:cs="Times New Roman"/>
          <w:iCs/>
          <w:sz w:val="23"/>
          <w:szCs w:val="23"/>
        </w:rPr>
        <w:t xml:space="preserve">, </w:t>
      </w:r>
      <w:r w:rsidR="00204B89">
        <w:rPr>
          <w:rFonts w:ascii="Garamond" w:hAnsi="Garamond" w:cs="Times New Roman"/>
          <w:iCs/>
          <w:sz w:val="23"/>
          <w:szCs w:val="23"/>
        </w:rPr>
        <w:t>a</w:t>
      </w:r>
      <w:r w:rsidRPr="00D86DC5">
        <w:rPr>
          <w:rFonts w:ascii="Garamond" w:hAnsi="Garamond" w:cs="Times New Roman"/>
          <w:iCs/>
          <w:sz w:val="23"/>
          <w:szCs w:val="23"/>
        </w:rPr>
        <w:t xml:space="preserve"> ogni </w:t>
      </w:r>
      <w:r w:rsidR="00204B89">
        <w:rPr>
          <w:rFonts w:ascii="Garamond" w:hAnsi="Garamond" w:cs="Times New Roman"/>
          <w:iCs/>
          <w:sz w:val="23"/>
          <w:szCs w:val="23"/>
        </w:rPr>
        <w:t>fattispecie</w:t>
      </w:r>
      <w:r w:rsidRPr="00D86DC5">
        <w:rPr>
          <w:rFonts w:ascii="Garamond" w:hAnsi="Garamond" w:cs="Times New Roman"/>
          <w:iCs/>
          <w:sz w:val="23"/>
          <w:szCs w:val="23"/>
        </w:rPr>
        <w:t xml:space="preserve"> nella</w:t>
      </w:r>
      <w:r w:rsidR="00B95233">
        <w:rPr>
          <w:rFonts w:ascii="Garamond" w:hAnsi="Garamond" w:cs="Times New Roman"/>
          <w:iCs/>
          <w:sz w:val="23"/>
          <w:szCs w:val="23"/>
        </w:rPr>
        <w:t xml:space="preserve"> </w:t>
      </w:r>
      <w:r w:rsidRPr="00D86DC5">
        <w:rPr>
          <w:rFonts w:ascii="Garamond" w:hAnsi="Garamond" w:cs="Times New Roman"/>
          <w:iCs/>
          <w:sz w:val="23"/>
          <w:szCs w:val="23"/>
        </w:rPr>
        <w:t xml:space="preserve">quale </w:t>
      </w:r>
      <w:r w:rsidR="00204B89">
        <w:rPr>
          <w:rFonts w:ascii="Garamond" w:hAnsi="Garamond" w:cs="Times New Roman"/>
          <w:iCs/>
          <w:sz w:val="23"/>
          <w:szCs w:val="23"/>
        </w:rPr>
        <w:t>l’</w:t>
      </w:r>
      <w:r w:rsidRPr="00D86DC5">
        <w:rPr>
          <w:rFonts w:ascii="Garamond" w:hAnsi="Garamond" w:cs="Times New Roman"/>
          <w:iCs/>
          <w:sz w:val="23"/>
          <w:szCs w:val="23"/>
        </w:rPr>
        <w:t>interesse di un soggetto interferisce o potrebbe interferire con lo svolgimento imparziale dei</w:t>
      </w:r>
      <w:r w:rsidR="00B95233">
        <w:rPr>
          <w:rFonts w:ascii="Garamond" w:hAnsi="Garamond" w:cs="Times New Roman"/>
          <w:iCs/>
          <w:sz w:val="23"/>
          <w:szCs w:val="23"/>
        </w:rPr>
        <w:t xml:space="preserve"> </w:t>
      </w:r>
      <w:r w:rsidRPr="00D86DC5">
        <w:rPr>
          <w:rFonts w:ascii="Garamond" w:hAnsi="Garamond" w:cs="Times New Roman"/>
          <w:iCs/>
          <w:sz w:val="23"/>
          <w:szCs w:val="23"/>
        </w:rPr>
        <w:t>suoi doveri pubblici.</w:t>
      </w:r>
      <w:r w:rsidR="00160942" w:rsidRPr="00160942">
        <w:t xml:space="preserve"> </w:t>
      </w:r>
      <w:r w:rsidR="00160942" w:rsidRPr="00514EAC">
        <w:rPr>
          <w:rFonts w:ascii="Garamond" w:hAnsi="Garamond" w:cs="Times New Roman"/>
          <w:iCs/>
          <w:sz w:val="23"/>
          <w:szCs w:val="23"/>
        </w:rPr>
        <w:t>Si tratta, dunque, di una condizione che determina il rischio di comportamenti dannosi per l’amministrazione, a prescindere che ad essa segua o meno una condotta impropria. Il conflitto di interessi è, infatti, definito dalla categoria della potenzialità e la disciplina in materia opera indipendentemente dal concretizzarsi di un vantaggio.</w:t>
      </w:r>
    </w:p>
    <w:p w14:paraId="38074FF7" w14:textId="58EC8375" w:rsidR="007A57AE" w:rsidRPr="00D86DC5" w:rsidRDefault="007A57AE" w:rsidP="00582EFE">
      <w:pPr>
        <w:tabs>
          <w:tab w:val="left" w:pos="9356"/>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Nell’ordinamento giuridico italiano, il conflitto di interessi dei dipendenti pubblici è disciplinato dall’art. 6 bis della legge 7 agosto 1990 n. 241 </w:t>
      </w:r>
      <w:r w:rsidR="0070098F">
        <w:rPr>
          <w:rFonts w:ascii="Garamond" w:hAnsi="Garamond" w:cs="Times New Roman"/>
          <w:iCs/>
          <w:sz w:val="23"/>
          <w:szCs w:val="23"/>
        </w:rPr>
        <w:t>(</w:t>
      </w:r>
      <w:r w:rsidRPr="00D86DC5">
        <w:rPr>
          <w:rFonts w:ascii="Garamond" w:hAnsi="Garamond" w:cs="Times New Roman"/>
          <w:iCs/>
          <w:sz w:val="23"/>
          <w:szCs w:val="23"/>
        </w:rPr>
        <w:t>intr</w:t>
      </w:r>
      <w:r w:rsidR="0070098F">
        <w:rPr>
          <w:rFonts w:ascii="Garamond" w:hAnsi="Garamond" w:cs="Times New Roman"/>
          <w:iCs/>
          <w:sz w:val="23"/>
          <w:szCs w:val="23"/>
        </w:rPr>
        <w:t>odotto dalla L. n. 190 del 2012),</w:t>
      </w:r>
      <w:r w:rsidRPr="00D86DC5">
        <w:rPr>
          <w:rFonts w:ascii="Garamond" w:hAnsi="Garamond" w:cs="Times New Roman"/>
          <w:iCs/>
          <w:sz w:val="23"/>
          <w:szCs w:val="23"/>
        </w:rPr>
        <w:t xml:space="preserve"> dagli artt. 6, 7 e 13 del D.P.R. n. 62/2013, </w:t>
      </w:r>
      <w:r w:rsidRPr="00D86DC5">
        <w:rPr>
          <w:rFonts w:ascii="Garamond" w:hAnsi="Garamond" w:cs="Times New Roman"/>
          <w:i/>
          <w:sz w:val="23"/>
          <w:szCs w:val="23"/>
        </w:rPr>
        <w:t>“Codice di Comport</w:t>
      </w:r>
      <w:r w:rsidR="0070098F">
        <w:rPr>
          <w:rFonts w:ascii="Garamond" w:hAnsi="Garamond" w:cs="Times New Roman"/>
          <w:i/>
          <w:sz w:val="23"/>
          <w:szCs w:val="23"/>
        </w:rPr>
        <w:t>amento dei Dipendenti Pubblici”</w:t>
      </w:r>
      <w:r w:rsidR="0070098F">
        <w:rPr>
          <w:rFonts w:ascii="Garamond" w:hAnsi="Garamond" w:cs="Times New Roman"/>
          <w:sz w:val="23"/>
          <w:szCs w:val="23"/>
        </w:rPr>
        <w:t xml:space="preserve"> </w:t>
      </w:r>
      <w:r w:rsidRPr="00D86DC5">
        <w:rPr>
          <w:rFonts w:ascii="Garamond" w:hAnsi="Garamond" w:cs="Times New Roman"/>
          <w:iCs/>
          <w:sz w:val="23"/>
          <w:szCs w:val="23"/>
        </w:rPr>
        <w:t xml:space="preserve">recepito dalla Regione Abruzzo con </w:t>
      </w:r>
      <w:r w:rsidR="0070098F" w:rsidRPr="0070098F">
        <w:rPr>
          <w:rFonts w:ascii="Garamond" w:hAnsi="Garamond" w:cs="Times New Roman"/>
          <w:iCs/>
          <w:sz w:val="23"/>
          <w:szCs w:val="23"/>
        </w:rPr>
        <w:t xml:space="preserve">D.G.R. n. </w:t>
      </w:r>
      <w:r w:rsidR="0070098F">
        <w:rPr>
          <w:rFonts w:ascii="Garamond" w:hAnsi="Garamond" w:cs="Times New Roman"/>
          <w:iCs/>
          <w:sz w:val="23"/>
          <w:szCs w:val="23"/>
        </w:rPr>
        <w:t>72</w:t>
      </w:r>
      <w:r w:rsidR="0070098F" w:rsidRPr="0070098F">
        <w:rPr>
          <w:rFonts w:ascii="Garamond" w:hAnsi="Garamond" w:cs="Times New Roman"/>
          <w:iCs/>
          <w:sz w:val="23"/>
          <w:szCs w:val="23"/>
        </w:rPr>
        <w:t>/201</w:t>
      </w:r>
      <w:r w:rsidR="0070098F">
        <w:rPr>
          <w:rFonts w:ascii="Garamond" w:hAnsi="Garamond" w:cs="Times New Roman"/>
          <w:iCs/>
          <w:sz w:val="23"/>
          <w:szCs w:val="23"/>
        </w:rPr>
        <w:t>4</w:t>
      </w:r>
      <w:r w:rsidR="0070098F" w:rsidRPr="0070098F">
        <w:rPr>
          <w:rFonts w:ascii="Garamond" w:hAnsi="Garamond" w:cs="Times New Roman"/>
          <w:iCs/>
          <w:sz w:val="23"/>
          <w:szCs w:val="23"/>
        </w:rPr>
        <w:t xml:space="preserve"> </w:t>
      </w:r>
      <w:r w:rsidR="0070098F">
        <w:rPr>
          <w:rFonts w:ascii="Garamond" w:hAnsi="Garamond" w:cs="Times New Roman"/>
          <w:iCs/>
          <w:sz w:val="23"/>
          <w:szCs w:val="23"/>
        </w:rPr>
        <w:t xml:space="preserve">recante il </w:t>
      </w:r>
      <w:r w:rsidR="0070098F" w:rsidRPr="00D86DC5">
        <w:rPr>
          <w:rFonts w:ascii="Garamond" w:hAnsi="Garamond" w:cs="Times New Roman"/>
          <w:i/>
          <w:sz w:val="23"/>
          <w:szCs w:val="23"/>
        </w:rPr>
        <w:t>Codice di Comporta</w:t>
      </w:r>
      <w:r w:rsidR="0070098F">
        <w:rPr>
          <w:rFonts w:ascii="Garamond" w:hAnsi="Garamond" w:cs="Times New Roman"/>
          <w:i/>
          <w:sz w:val="23"/>
          <w:szCs w:val="23"/>
        </w:rPr>
        <w:t>mento dei dipendenti della Giunta Regionale</w:t>
      </w:r>
      <w:r w:rsidR="0070098F">
        <w:rPr>
          <w:rFonts w:ascii="Garamond" w:hAnsi="Garamond" w:cs="Times New Roman"/>
          <w:sz w:val="23"/>
          <w:szCs w:val="23"/>
        </w:rPr>
        <w:t>,</w:t>
      </w:r>
      <w:r w:rsidR="0070098F">
        <w:rPr>
          <w:rFonts w:ascii="Garamond" w:hAnsi="Garamond" w:cs="Times New Roman"/>
          <w:iCs/>
          <w:sz w:val="23"/>
          <w:szCs w:val="23"/>
        </w:rPr>
        <w:t xml:space="preserve"> aggiornato con </w:t>
      </w:r>
      <w:r w:rsidRPr="00D86DC5">
        <w:rPr>
          <w:rFonts w:ascii="Garamond" w:hAnsi="Garamond" w:cs="Times New Roman"/>
          <w:iCs/>
          <w:sz w:val="23"/>
          <w:szCs w:val="23"/>
        </w:rPr>
        <w:t>D.G.R. n.</w:t>
      </w:r>
      <w:r w:rsidR="0070098F">
        <w:rPr>
          <w:rFonts w:ascii="Garamond" w:hAnsi="Garamond" w:cs="Times New Roman"/>
          <w:iCs/>
          <w:sz w:val="23"/>
          <w:szCs w:val="23"/>
        </w:rPr>
        <w:t xml:space="preserve"> </w:t>
      </w:r>
      <w:bookmarkStart w:id="46" w:name="_Hlk42159205"/>
      <w:r w:rsidR="0070098F">
        <w:rPr>
          <w:rFonts w:ascii="Garamond" w:hAnsi="Garamond" w:cs="Times New Roman"/>
          <w:iCs/>
          <w:sz w:val="23"/>
          <w:szCs w:val="23"/>
        </w:rPr>
        <w:t>983/2018</w:t>
      </w:r>
      <w:bookmarkEnd w:id="46"/>
      <w:r w:rsidRPr="00D86DC5">
        <w:rPr>
          <w:rFonts w:ascii="Garamond" w:hAnsi="Garamond" w:cs="Times New Roman"/>
          <w:iCs/>
          <w:sz w:val="23"/>
          <w:szCs w:val="23"/>
        </w:rPr>
        <w:t xml:space="preserve">. </w:t>
      </w:r>
    </w:p>
    <w:p w14:paraId="0B9393CC" w14:textId="77D8557E" w:rsidR="007A57AE" w:rsidRPr="00D86DC5" w:rsidRDefault="007A57AE" w:rsidP="00582EFE">
      <w:pPr>
        <w:tabs>
          <w:tab w:val="left" w:pos="9356"/>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L’articolo 6 bis della L.</w:t>
      </w:r>
      <w:r w:rsidR="00AD231C">
        <w:rPr>
          <w:rFonts w:ascii="Garamond" w:hAnsi="Garamond" w:cs="Times New Roman"/>
          <w:iCs/>
          <w:sz w:val="23"/>
          <w:szCs w:val="23"/>
        </w:rPr>
        <w:t xml:space="preserve"> </w:t>
      </w:r>
      <w:r w:rsidRPr="00D86DC5">
        <w:rPr>
          <w:rFonts w:ascii="Garamond" w:hAnsi="Garamond" w:cs="Times New Roman"/>
          <w:iCs/>
          <w:sz w:val="23"/>
          <w:szCs w:val="23"/>
        </w:rPr>
        <w:t xml:space="preserve">241/1990 prevede che il responsabile del procedimento e i titolari degli uffici competenti ad adottare i pareri, le valutazioni tecniche, gli atti </w:t>
      </w:r>
      <w:proofErr w:type="spellStart"/>
      <w:r w:rsidRPr="00D86DC5">
        <w:rPr>
          <w:rFonts w:ascii="Garamond" w:hAnsi="Garamond" w:cs="Times New Roman"/>
          <w:iCs/>
          <w:sz w:val="23"/>
          <w:szCs w:val="23"/>
        </w:rPr>
        <w:t>endoprocedimentali</w:t>
      </w:r>
      <w:proofErr w:type="spellEnd"/>
      <w:r w:rsidRPr="00D86DC5">
        <w:rPr>
          <w:rFonts w:ascii="Garamond" w:hAnsi="Garamond" w:cs="Times New Roman"/>
          <w:iCs/>
          <w:sz w:val="23"/>
          <w:szCs w:val="23"/>
        </w:rPr>
        <w:t xml:space="preserve"> e il provvedimento finale devono astenersi in caso di conflitto di interessi, segnalando ogni situazione di conflitto, anche potenziale.</w:t>
      </w:r>
    </w:p>
    <w:p w14:paraId="37999D27"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
          <w:sz w:val="23"/>
          <w:szCs w:val="23"/>
        </w:rPr>
      </w:pPr>
      <w:r w:rsidRPr="00D86DC5">
        <w:rPr>
          <w:rFonts w:ascii="Garamond" w:hAnsi="Garamond" w:cs="Times New Roman"/>
          <w:iCs/>
          <w:sz w:val="23"/>
          <w:szCs w:val="23"/>
        </w:rPr>
        <w:t xml:space="preserve">La succitata norma deve essere letta in maniera coordinata con la disposizione di cui al D.P.R. 16 aprile 2013, n. 62 (Regolamento recante codice di comportamento dei dipendenti pubblici, a norma dell’art. 54 del D. </w:t>
      </w:r>
      <w:proofErr w:type="spellStart"/>
      <w:r w:rsidRPr="00D86DC5">
        <w:rPr>
          <w:rFonts w:ascii="Garamond" w:hAnsi="Garamond" w:cs="Times New Roman"/>
          <w:iCs/>
          <w:sz w:val="23"/>
          <w:szCs w:val="23"/>
        </w:rPr>
        <w:t>Lgs</w:t>
      </w:r>
      <w:proofErr w:type="spellEnd"/>
      <w:r w:rsidRPr="00D86DC5">
        <w:rPr>
          <w:rFonts w:ascii="Garamond" w:hAnsi="Garamond" w:cs="Times New Roman"/>
          <w:iCs/>
          <w:sz w:val="23"/>
          <w:szCs w:val="23"/>
        </w:rPr>
        <w:t xml:space="preserve">. 165/2001), il cui art. 7 dispone che: </w:t>
      </w:r>
      <w:r w:rsidRPr="00D86DC5">
        <w:rPr>
          <w:rFonts w:ascii="Garamond" w:hAnsi="Garamond" w:cs="Times New Roman"/>
          <w:i/>
          <w:sz w:val="23"/>
          <w:szCs w:val="23"/>
        </w:rPr>
        <w:t xml:space="preserve">“Il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w:t>
      </w:r>
      <w:r w:rsidRPr="00D86DC5">
        <w:rPr>
          <w:rFonts w:ascii="Garamond" w:hAnsi="Garamond" w:cs="Times New Roman"/>
          <w:i/>
          <w:sz w:val="23"/>
          <w:szCs w:val="23"/>
        </w:rPr>
        <w:lastRenderedPageBreak/>
        <w:t>amministratore o gerente o dirigente. Il dipendente si astiene in ogni altro caso in cui esistano gravi ragioni di convenienza. Sull'astensione decide il responsabile dell'ufficio di appartenenza.”</w:t>
      </w:r>
    </w:p>
    <w:p w14:paraId="718D4125" w14:textId="238C126E" w:rsidR="007A57AE" w:rsidRPr="00D86DC5" w:rsidRDefault="00AD231C"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Pr>
          <w:rFonts w:ascii="Garamond" w:hAnsi="Garamond" w:cs="Times New Roman"/>
          <w:iCs/>
          <w:sz w:val="23"/>
          <w:szCs w:val="23"/>
        </w:rPr>
        <w:t>L</w:t>
      </w:r>
      <w:r w:rsidR="007A57AE" w:rsidRPr="00D86DC5">
        <w:rPr>
          <w:rFonts w:ascii="Garamond" w:hAnsi="Garamond" w:cs="Times New Roman"/>
          <w:iCs/>
          <w:sz w:val="23"/>
          <w:szCs w:val="23"/>
        </w:rPr>
        <w:t xml:space="preserve">a disciplina del conflitto di interessi </w:t>
      </w:r>
      <w:r>
        <w:rPr>
          <w:rFonts w:ascii="Garamond" w:hAnsi="Garamond" w:cs="Times New Roman"/>
          <w:iCs/>
          <w:sz w:val="23"/>
          <w:szCs w:val="23"/>
        </w:rPr>
        <w:t xml:space="preserve">per i dipendenti della Giunta Regionale d’Abruzzo </w:t>
      </w:r>
      <w:r w:rsidR="007A57AE" w:rsidRPr="00D86DC5">
        <w:rPr>
          <w:rFonts w:ascii="Garamond" w:hAnsi="Garamond" w:cs="Times New Roman"/>
          <w:iCs/>
          <w:sz w:val="23"/>
          <w:szCs w:val="23"/>
        </w:rPr>
        <w:t xml:space="preserve">è contenuta </w:t>
      </w:r>
      <w:r>
        <w:rPr>
          <w:rFonts w:ascii="Garamond" w:hAnsi="Garamond" w:cs="Times New Roman"/>
          <w:iCs/>
          <w:sz w:val="23"/>
          <w:szCs w:val="23"/>
        </w:rPr>
        <w:t xml:space="preserve">anche </w:t>
      </w:r>
      <w:r w:rsidR="007A57AE" w:rsidRPr="00D86DC5">
        <w:rPr>
          <w:rFonts w:ascii="Garamond" w:hAnsi="Garamond" w:cs="Times New Roman"/>
          <w:iCs/>
          <w:sz w:val="23"/>
          <w:szCs w:val="23"/>
        </w:rPr>
        <w:t xml:space="preserve">negli artt. 6 e 7 del </w:t>
      </w:r>
      <w:bookmarkStart w:id="47" w:name="_Hlk42160324"/>
      <w:r>
        <w:rPr>
          <w:rFonts w:ascii="Garamond" w:hAnsi="Garamond" w:cs="Times New Roman"/>
          <w:iCs/>
          <w:sz w:val="23"/>
          <w:szCs w:val="23"/>
        </w:rPr>
        <w:t>citato Codice aggiornato con D.G.R. n. 983/2018</w:t>
      </w:r>
      <w:r w:rsidR="007A57AE" w:rsidRPr="00D86DC5">
        <w:rPr>
          <w:rFonts w:ascii="Garamond" w:hAnsi="Garamond" w:cs="Times New Roman"/>
          <w:i/>
          <w:sz w:val="23"/>
          <w:szCs w:val="23"/>
        </w:rPr>
        <w:t xml:space="preserve">. </w:t>
      </w:r>
      <w:bookmarkEnd w:id="47"/>
      <w:r w:rsidR="007A57AE" w:rsidRPr="00D86DC5">
        <w:rPr>
          <w:rFonts w:ascii="Garamond" w:hAnsi="Garamond" w:cs="Times New Roman"/>
          <w:iCs/>
          <w:sz w:val="23"/>
          <w:szCs w:val="23"/>
        </w:rPr>
        <w:t xml:space="preserve">L’art 6 al comma </w:t>
      </w:r>
      <w:r w:rsidR="007A57AE" w:rsidRPr="00514EAC">
        <w:rPr>
          <w:rFonts w:ascii="Garamond" w:hAnsi="Garamond" w:cs="Times New Roman"/>
          <w:iCs/>
          <w:sz w:val="23"/>
          <w:szCs w:val="23"/>
        </w:rPr>
        <w:t>1 disciplina l’obbligo di comunicazione degli interessi finanziari e dei conflitti di interessi e dispone che il d</w:t>
      </w:r>
      <w:r w:rsidRPr="00514EAC">
        <w:rPr>
          <w:rFonts w:ascii="Garamond" w:hAnsi="Garamond" w:cs="Times New Roman"/>
          <w:iCs/>
          <w:sz w:val="23"/>
          <w:szCs w:val="23"/>
        </w:rPr>
        <w:t>ipendente, all’atto dell’</w:t>
      </w:r>
      <w:r w:rsidR="007A57AE" w:rsidRPr="00514EAC">
        <w:rPr>
          <w:rFonts w:ascii="Garamond" w:hAnsi="Garamond" w:cs="Times New Roman"/>
          <w:iCs/>
          <w:sz w:val="23"/>
          <w:szCs w:val="23"/>
        </w:rPr>
        <w:t xml:space="preserve">assegnazione all’ufficio/servizio/struttura regionale informi per iscritto il dirigente di tutti i rapporti, anche per interposta persona, di collaborazione o consulenza, comunque denominati, con soggetti privati, ivi compresi società od enti senza scopo di lucro, in qualunque modo retribuiti, o a titolo gratuito, che lo stesso </w:t>
      </w:r>
      <w:r w:rsidR="007A57AE" w:rsidRPr="00C4066B">
        <w:rPr>
          <w:rFonts w:ascii="Garamond" w:hAnsi="Garamond" w:cs="Times New Roman"/>
          <w:iCs/>
          <w:sz w:val="23"/>
          <w:szCs w:val="23"/>
        </w:rPr>
        <w:t>abbia o abbia avuto negli ultimi tre anni (art. 6 del D.P.R. 62/2013).</w:t>
      </w:r>
      <w:r w:rsidR="005D2A9C" w:rsidRPr="00C4066B">
        <w:rPr>
          <w:rFonts w:ascii="Garamond" w:hAnsi="Garamond" w:cs="Times New Roman"/>
          <w:iCs/>
          <w:sz w:val="23"/>
          <w:szCs w:val="23"/>
        </w:rPr>
        <w:t xml:space="preserve"> </w:t>
      </w:r>
      <w:r w:rsidR="00160942" w:rsidRPr="00C4066B">
        <w:rPr>
          <w:rFonts w:ascii="Garamond" w:hAnsi="Garamond" w:cs="Times New Roman"/>
          <w:iCs/>
          <w:sz w:val="23"/>
          <w:szCs w:val="23"/>
        </w:rPr>
        <w:t>In tal senso il</w:t>
      </w:r>
      <w:r w:rsidR="00E85DD2" w:rsidRPr="00C4066B">
        <w:rPr>
          <w:rFonts w:ascii="Garamond" w:hAnsi="Garamond" w:cs="Times New Roman"/>
          <w:iCs/>
          <w:sz w:val="23"/>
          <w:szCs w:val="23"/>
        </w:rPr>
        <w:t xml:space="preserve"> </w:t>
      </w:r>
      <w:r w:rsidR="00160942" w:rsidRPr="00C4066B">
        <w:rPr>
          <w:rFonts w:ascii="Garamond" w:hAnsi="Garamond" w:cs="Times New Roman"/>
          <w:iCs/>
          <w:sz w:val="23"/>
          <w:szCs w:val="23"/>
        </w:rPr>
        <w:t>modello</w:t>
      </w:r>
      <w:r w:rsidR="00E85DD2" w:rsidRPr="00C4066B">
        <w:rPr>
          <w:rFonts w:ascii="Garamond" w:hAnsi="Garamond" w:cs="Times New Roman"/>
          <w:iCs/>
          <w:sz w:val="23"/>
          <w:szCs w:val="23"/>
        </w:rPr>
        <w:t xml:space="preserve"> </w:t>
      </w:r>
      <w:r w:rsidR="00160942" w:rsidRPr="00C4066B">
        <w:rPr>
          <w:rFonts w:ascii="Garamond" w:hAnsi="Garamond" w:cs="Times New Roman"/>
          <w:iCs/>
          <w:sz w:val="23"/>
          <w:szCs w:val="23"/>
        </w:rPr>
        <w:t>di dichiarazione</w:t>
      </w:r>
      <w:r w:rsidR="00E85DD2" w:rsidRPr="00C4066B">
        <w:rPr>
          <w:rFonts w:ascii="Garamond" w:hAnsi="Garamond" w:cs="Times New Roman"/>
          <w:iCs/>
          <w:sz w:val="23"/>
          <w:szCs w:val="23"/>
        </w:rPr>
        <w:t xml:space="preserve"> </w:t>
      </w:r>
      <w:r w:rsidR="00160942" w:rsidRPr="00C4066B">
        <w:rPr>
          <w:rFonts w:ascii="Garamond" w:hAnsi="Garamond" w:cs="Times New Roman"/>
          <w:iCs/>
          <w:sz w:val="23"/>
          <w:szCs w:val="23"/>
        </w:rPr>
        <w:t>da rilasciare a cura del dipendente,</w:t>
      </w:r>
      <w:r w:rsidR="00262BD4" w:rsidRPr="00C4066B">
        <w:rPr>
          <w:rFonts w:ascii="Garamond" w:hAnsi="Garamond" w:cs="Times New Roman"/>
          <w:iCs/>
          <w:sz w:val="23"/>
          <w:szCs w:val="23"/>
        </w:rPr>
        <w:t xml:space="preserve"> sarà integrato </w:t>
      </w:r>
      <w:r w:rsidR="00DE205A">
        <w:rPr>
          <w:rFonts w:ascii="Garamond" w:hAnsi="Garamond" w:cs="Times New Roman"/>
          <w:iCs/>
          <w:sz w:val="23"/>
          <w:szCs w:val="23"/>
        </w:rPr>
        <w:t xml:space="preserve">anche </w:t>
      </w:r>
      <w:r w:rsidR="00262BD4" w:rsidRPr="00C4066B">
        <w:rPr>
          <w:rFonts w:ascii="Garamond" w:hAnsi="Garamond" w:cs="Times New Roman"/>
          <w:iCs/>
          <w:sz w:val="23"/>
          <w:szCs w:val="23"/>
        </w:rPr>
        <w:t>con le informazioni</w:t>
      </w:r>
      <w:r w:rsidR="00160942" w:rsidRPr="00C4066B">
        <w:rPr>
          <w:rFonts w:ascii="Garamond" w:hAnsi="Garamond" w:cs="Times New Roman"/>
          <w:iCs/>
          <w:sz w:val="23"/>
          <w:szCs w:val="23"/>
        </w:rPr>
        <w:t>, da render</w:t>
      </w:r>
      <w:r w:rsidR="005D2A9C" w:rsidRPr="00C4066B">
        <w:rPr>
          <w:rFonts w:ascii="Garamond" w:hAnsi="Garamond" w:cs="Times New Roman"/>
          <w:iCs/>
          <w:sz w:val="23"/>
          <w:szCs w:val="23"/>
        </w:rPr>
        <w:t xml:space="preserve">si a cura del dipendente, circa </w:t>
      </w:r>
      <w:r w:rsidR="00160942" w:rsidRPr="00C4066B">
        <w:rPr>
          <w:rFonts w:ascii="Garamond" w:hAnsi="Garamond" w:cs="Times New Roman"/>
          <w:iCs/>
          <w:sz w:val="23"/>
          <w:szCs w:val="23"/>
        </w:rPr>
        <w:t>i rapporti di cui al comma 1</w:t>
      </w:r>
      <w:r w:rsidR="005D2A9C" w:rsidRPr="00C4066B">
        <w:rPr>
          <w:rFonts w:ascii="Garamond" w:hAnsi="Garamond" w:cs="Times New Roman"/>
          <w:iCs/>
          <w:sz w:val="23"/>
          <w:szCs w:val="23"/>
        </w:rPr>
        <w:t xml:space="preserve"> </w:t>
      </w:r>
      <w:r w:rsidR="00160942" w:rsidRPr="00C4066B">
        <w:rPr>
          <w:rFonts w:ascii="Garamond" w:hAnsi="Garamond" w:cs="Times New Roman"/>
          <w:iCs/>
          <w:sz w:val="23"/>
          <w:szCs w:val="23"/>
        </w:rPr>
        <w:t xml:space="preserve">dell’art. 6 del Codice di Comportamento. </w:t>
      </w:r>
      <w:r w:rsidR="007A57AE" w:rsidRPr="00C4066B">
        <w:rPr>
          <w:rFonts w:ascii="Garamond" w:hAnsi="Garamond" w:cs="Times New Roman"/>
          <w:iCs/>
          <w:sz w:val="23"/>
          <w:szCs w:val="23"/>
        </w:rPr>
        <w:t>Ai successivi commi 2, 3 e 4 è disciplinato tale obbligo a carico dei Dirigenti delle strutture regionali e dei titolari degli incar</w:t>
      </w:r>
      <w:r w:rsidRPr="00C4066B">
        <w:rPr>
          <w:rFonts w:ascii="Garamond" w:hAnsi="Garamond" w:cs="Times New Roman"/>
          <w:iCs/>
          <w:sz w:val="23"/>
          <w:szCs w:val="23"/>
        </w:rPr>
        <w:t xml:space="preserve">ichi amministrativi di vertice. </w:t>
      </w:r>
      <w:r w:rsidR="007A57AE" w:rsidRPr="00C4066B">
        <w:rPr>
          <w:rFonts w:ascii="Garamond" w:hAnsi="Garamond" w:cs="Times New Roman"/>
          <w:iCs/>
          <w:sz w:val="23"/>
          <w:szCs w:val="23"/>
        </w:rPr>
        <w:t>Al comma 7 è, poi, previsto che il dipendente si astenga dal prendere decisioni o</w:t>
      </w:r>
      <w:r w:rsidR="007A57AE" w:rsidRPr="00D86DC5">
        <w:rPr>
          <w:rFonts w:ascii="Garamond" w:hAnsi="Garamond" w:cs="Times New Roman"/>
          <w:iCs/>
          <w:sz w:val="23"/>
          <w:szCs w:val="23"/>
        </w:rPr>
        <w:t xml:space="preserve"> svolgere attività inerenti alle sue mansioni in situazioni di conflitto di interessi, </w:t>
      </w:r>
      <w:bookmarkStart w:id="48" w:name="_Hlk42159953"/>
      <w:r w:rsidR="007A57AE" w:rsidRPr="005D2A9C">
        <w:rPr>
          <w:rFonts w:ascii="Garamond" w:hAnsi="Garamond" w:cs="Times New Roman"/>
          <w:sz w:val="23"/>
          <w:szCs w:val="23"/>
        </w:rPr>
        <w:t>anche potenziale</w:t>
      </w:r>
      <w:bookmarkEnd w:id="48"/>
      <w:r w:rsidR="007A57AE" w:rsidRPr="00D86DC5">
        <w:rPr>
          <w:rFonts w:ascii="Garamond" w:hAnsi="Garamond" w:cs="Times New Roman"/>
          <w:iCs/>
          <w:sz w:val="23"/>
          <w:szCs w:val="23"/>
        </w:rPr>
        <w:t>, in cui siano coinvolti interessi personali del coniuge, di conviventi, di parenti, di affini entro il secondo grado.</w:t>
      </w:r>
      <w:r>
        <w:rPr>
          <w:rFonts w:ascii="Garamond" w:hAnsi="Garamond" w:cs="Times New Roman"/>
          <w:iCs/>
          <w:sz w:val="23"/>
          <w:szCs w:val="23"/>
        </w:rPr>
        <w:t xml:space="preserve"> </w:t>
      </w:r>
      <w:r w:rsidR="007A57AE" w:rsidRPr="00D86DC5">
        <w:rPr>
          <w:rFonts w:ascii="Garamond" w:hAnsi="Garamond" w:cs="Times New Roman"/>
          <w:iCs/>
          <w:sz w:val="23"/>
          <w:szCs w:val="23"/>
        </w:rPr>
        <w:t xml:space="preserve">L’art. 7 del </w:t>
      </w:r>
      <w:bookmarkStart w:id="49" w:name="_Hlk42160770"/>
      <w:r w:rsidR="007A57AE" w:rsidRPr="00D86DC5">
        <w:rPr>
          <w:rFonts w:ascii="Garamond" w:hAnsi="Garamond" w:cs="Times New Roman"/>
          <w:i/>
          <w:iCs/>
          <w:sz w:val="23"/>
          <w:szCs w:val="23"/>
        </w:rPr>
        <w:t>“Codice di Comportamento dei dipendenti della G.R.”</w:t>
      </w:r>
      <w:r w:rsidR="007A57AE" w:rsidRPr="00D86DC5">
        <w:rPr>
          <w:rFonts w:ascii="Garamond" w:hAnsi="Garamond" w:cs="Times New Roman"/>
          <w:iCs/>
          <w:sz w:val="23"/>
          <w:szCs w:val="23"/>
        </w:rPr>
        <w:t xml:space="preserve"> </w:t>
      </w:r>
      <w:bookmarkEnd w:id="49"/>
      <w:r w:rsidR="007A57AE" w:rsidRPr="00D86DC5">
        <w:rPr>
          <w:rFonts w:ascii="Garamond" w:hAnsi="Garamond" w:cs="Times New Roman"/>
          <w:iCs/>
          <w:sz w:val="23"/>
          <w:szCs w:val="23"/>
        </w:rPr>
        <w:t>dispone che nel caso in cui ricorra l’obbligo di astensione  la segnalazione del conflitto di interessi  vada indirizzata dal dipendente al dirigente della struttura di appartenenza il quale, esaminate le circostanze, valuta la situazione e, nell’ipotesi ravvisasse che la situazione realizza un conflitto di interessi idoneo a ledere l’imparzialità dell’azione amministrativa, deve informare per iscritto il dipendente nel termine di 20 gg, sollevandolo dall’incarico.</w:t>
      </w:r>
    </w:p>
    <w:p w14:paraId="53090D25"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Si evidenzia che le disposizioni in argomento prescrivono due distinti condotte: a) l’obbligo di astensione; b) l’obbligo di segnalazione. Entrambe le condotte si configurano quali misure di prevenzione della corruzione. </w:t>
      </w:r>
    </w:p>
    <w:p w14:paraId="1D4A2314"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Per quanto detto, l’obbligo di astensione dei dipendenti pubblici, in tutti i casi di conflitto di interessi, </w:t>
      </w:r>
      <w:r w:rsidRPr="00AD231C">
        <w:rPr>
          <w:rFonts w:ascii="Garamond" w:hAnsi="Garamond" w:cs="Times New Roman"/>
          <w:sz w:val="23"/>
          <w:szCs w:val="23"/>
        </w:rPr>
        <w:t>anche solo potenziale</w:t>
      </w:r>
      <w:r w:rsidRPr="00D86DC5">
        <w:rPr>
          <w:rFonts w:ascii="Garamond" w:hAnsi="Garamond" w:cs="Times New Roman"/>
          <w:iCs/>
          <w:sz w:val="23"/>
          <w:szCs w:val="23"/>
        </w:rPr>
        <w:t>, costituisce principio generale dell’ordinamento e assurge a canone comportamentale immanente per qualsiasi funzionario pubblico.</w:t>
      </w:r>
    </w:p>
    <w:p w14:paraId="4030798D" w14:textId="2F85D835" w:rsidR="007A57AE" w:rsidRPr="00D86DC5" w:rsidRDefault="00AD231C"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Pr>
          <w:rFonts w:ascii="Garamond" w:hAnsi="Garamond" w:cs="Times New Roman"/>
          <w:iCs/>
          <w:sz w:val="23"/>
          <w:szCs w:val="23"/>
        </w:rPr>
        <w:t>L</w:t>
      </w:r>
      <w:r w:rsidR="007A57AE" w:rsidRPr="00D86DC5">
        <w:rPr>
          <w:rFonts w:ascii="Garamond" w:hAnsi="Garamond" w:cs="Times New Roman"/>
          <w:iCs/>
          <w:sz w:val="23"/>
          <w:szCs w:val="23"/>
        </w:rPr>
        <w:t xml:space="preserve">’ANAC, nel Piano Nazionale Anticorruzione 2013 (Allegato 1, paragrafo B6), ha precisato che la disposizione sul conflitto di interessi persegue una finalità di prevenzione che si realizza mediante l’astensione dalla partecipazione alla decisione (sia essa </w:t>
      </w:r>
      <w:proofErr w:type="spellStart"/>
      <w:r w:rsidR="007A57AE" w:rsidRPr="00D86DC5">
        <w:rPr>
          <w:rFonts w:ascii="Garamond" w:hAnsi="Garamond" w:cs="Times New Roman"/>
          <w:iCs/>
          <w:sz w:val="23"/>
          <w:szCs w:val="23"/>
        </w:rPr>
        <w:t>endoprocedimentale</w:t>
      </w:r>
      <w:proofErr w:type="spellEnd"/>
      <w:r w:rsidR="007A57AE" w:rsidRPr="00D86DC5">
        <w:rPr>
          <w:rFonts w:ascii="Garamond" w:hAnsi="Garamond" w:cs="Times New Roman"/>
          <w:iCs/>
          <w:sz w:val="23"/>
          <w:szCs w:val="23"/>
        </w:rPr>
        <w:t xml:space="preserve"> o meno) del titolare dell’interesse, che potrebbe porsi in conflitto con l’interesse perseguito mediante l’esercizio della funzione e/o con l’interesse di cui sono portatori il destinatario del provvedimento, gli altri interessati e i contro interessati. </w:t>
      </w:r>
    </w:p>
    <w:p w14:paraId="1EB3F469"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L’Autorità anticorruzione si è soffermata sulla materia del conflitto di interessi anche con gli Orientamenti n. 95 del 7 ottobre 2014 e n. 78 del 23 settembre 2014 affermando che </w:t>
      </w:r>
      <w:r w:rsidRPr="00D86DC5">
        <w:rPr>
          <w:rFonts w:ascii="Garamond" w:hAnsi="Garamond" w:cs="Times New Roman"/>
          <w:i/>
          <w:sz w:val="23"/>
          <w:szCs w:val="23"/>
        </w:rPr>
        <w:t>«nel caso in cui sussista un conflitto di interessi anche potenziale, l’obbligo di astensione dei pubblici dipendenti di cui all’art. 6 bis della legge n. 241/1990 costituisce una regola di carattere generale che non ammette deroghe ed eccezioni».</w:t>
      </w:r>
      <w:r w:rsidRPr="00D86DC5">
        <w:rPr>
          <w:rFonts w:ascii="Garamond" w:hAnsi="Garamond" w:cs="Times New Roman"/>
          <w:iCs/>
          <w:sz w:val="23"/>
          <w:szCs w:val="23"/>
        </w:rPr>
        <w:t xml:space="preserve"> </w:t>
      </w:r>
    </w:p>
    <w:p w14:paraId="78B41FFB" w14:textId="5BA6ED54" w:rsidR="007A57AE" w:rsidRDefault="00AD231C"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Pr>
          <w:rFonts w:ascii="Garamond" w:hAnsi="Garamond" w:cs="Times New Roman"/>
          <w:iCs/>
          <w:sz w:val="23"/>
          <w:szCs w:val="23"/>
        </w:rPr>
        <w:t>L</w:t>
      </w:r>
      <w:r w:rsidR="007A57AE" w:rsidRPr="00D86DC5">
        <w:rPr>
          <w:rFonts w:ascii="Garamond" w:hAnsi="Garamond" w:cs="Times New Roman"/>
          <w:iCs/>
          <w:sz w:val="23"/>
          <w:szCs w:val="23"/>
        </w:rPr>
        <w:t>a violazione degli obblighi d</w:t>
      </w:r>
      <w:r>
        <w:rPr>
          <w:rFonts w:ascii="Garamond" w:hAnsi="Garamond" w:cs="Times New Roman"/>
          <w:iCs/>
          <w:sz w:val="23"/>
          <w:szCs w:val="23"/>
        </w:rPr>
        <w:t xml:space="preserve">i astensione e di segnalazione </w:t>
      </w:r>
      <w:r w:rsidR="007A57AE" w:rsidRPr="00D86DC5">
        <w:rPr>
          <w:rFonts w:ascii="Garamond" w:hAnsi="Garamond" w:cs="Times New Roman"/>
          <w:iCs/>
          <w:sz w:val="23"/>
          <w:szCs w:val="23"/>
        </w:rPr>
        <w:t>integra comportamenti contrari ai doveri d’ufficio. Pertanto, ferma restando la responsabilità penale, civile, amministrativa o contabile del dipendente, la violazione della norma in argomento è fonte di responsabilità disciplinare del dipendente, accertata all’esito del relativo procedimento (art. 18 del sopra citato “Codice”).</w:t>
      </w:r>
    </w:p>
    <w:p w14:paraId="2DEB9160" w14:textId="77777777" w:rsidR="00C377D6" w:rsidRDefault="00C377D6"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p>
    <w:p w14:paraId="184C7879" w14:textId="77777777" w:rsidR="00853253" w:rsidRPr="009263BF" w:rsidRDefault="00853253" w:rsidP="00853253">
      <w:pPr>
        <w:spacing w:after="0" w:line="276" w:lineRule="auto"/>
        <w:ind w:right="-1"/>
        <w:jc w:val="both"/>
        <w:rPr>
          <w:rFonts w:ascii="Garamond" w:hAnsi="Garamond" w:cs="Times New Roman"/>
          <w:b/>
          <w:i/>
          <w:sz w:val="23"/>
          <w:szCs w:val="23"/>
        </w:rPr>
      </w:pPr>
      <w:bookmarkStart w:id="50" w:name="_Toc43329224"/>
      <w:bookmarkStart w:id="51" w:name="_Hlk101637313"/>
      <w:r w:rsidRPr="0093514D">
        <w:rPr>
          <w:rFonts w:ascii="Garamond" w:hAnsi="Garamond" w:cs="Times New Roman"/>
          <w:b/>
          <w:i/>
          <w:sz w:val="23"/>
          <w:szCs w:val="23"/>
        </w:rPr>
        <w:t xml:space="preserve">Conferimento e autorizzazione degli incarichi (Art. 53 del </w:t>
      </w:r>
      <w:proofErr w:type="spellStart"/>
      <w:proofErr w:type="gramStart"/>
      <w:r w:rsidRPr="0093514D">
        <w:rPr>
          <w:rFonts w:ascii="Garamond" w:hAnsi="Garamond" w:cs="Times New Roman"/>
          <w:b/>
          <w:i/>
          <w:sz w:val="23"/>
          <w:szCs w:val="23"/>
        </w:rPr>
        <w:t>D.Lgs</w:t>
      </w:r>
      <w:proofErr w:type="gramEnd"/>
      <w:r w:rsidRPr="0093514D">
        <w:rPr>
          <w:rFonts w:ascii="Garamond" w:hAnsi="Garamond" w:cs="Times New Roman"/>
          <w:b/>
          <w:i/>
          <w:sz w:val="23"/>
          <w:szCs w:val="23"/>
        </w:rPr>
        <w:t>.</w:t>
      </w:r>
      <w:proofErr w:type="spellEnd"/>
      <w:r w:rsidRPr="0093514D">
        <w:rPr>
          <w:rFonts w:ascii="Garamond" w:hAnsi="Garamond" w:cs="Times New Roman"/>
          <w:b/>
          <w:i/>
          <w:sz w:val="23"/>
          <w:szCs w:val="23"/>
        </w:rPr>
        <w:t xml:space="preserve"> 165/2001)</w:t>
      </w:r>
      <w:bookmarkEnd w:id="50"/>
      <w:r w:rsidRPr="0093514D">
        <w:rPr>
          <w:rFonts w:ascii="Garamond" w:hAnsi="Garamond" w:cs="Times New Roman"/>
          <w:b/>
          <w:i/>
          <w:sz w:val="23"/>
          <w:szCs w:val="23"/>
        </w:rPr>
        <w:t xml:space="preserve"> (</w:t>
      </w:r>
      <w:r>
        <w:rPr>
          <w:rFonts w:ascii="Garamond" w:hAnsi="Garamond" w:cs="Times New Roman"/>
          <w:b/>
          <w:i/>
          <w:sz w:val="23"/>
          <w:szCs w:val="23"/>
        </w:rPr>
        <w:t xml:space="preserve">Allegato B - </w:t>
      </w:r>
      <w:r w:rsidRPr="0093514D">
        <w:rPr>
          <w:rFonts w:ascii="Garamond" w:hAnsi="Garamond" w:cs="Times New Roman"/>
          <w:b/>
          <w:i/>
          <w:sz w:val="23"/>
          <w:szCs w:val="23"/>
        </w:rPr>
        <w:t>MG/6)</w:t>
      </w:r>
    </w:p>
    <w:bookmarkEnd w:id="51"/>
    <w:p w14:paraId="48B67826" w14:textId="77777777" w:rsidR="00853253" w:rsidRPr="00D86DC5" w:rsidRDefault="00853253" w:rsidP="00853253">
      <w:pPr>
        <w:tabs>
          <w:tab w:val="left" w:pos="9356"/>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L'art. 53 del </w:t>
      </w:r>
      <w:proofErr w:type="spellStart"/>
      <w:proofErr w:type="gramStart"/>
      <w:r w:rsidRPr="00D86DC5">
        <w:rPr>
          <w:rFonts w:ascii="Garamond" w:hAnsi="Garamond" w:cs="Times New Roman"/>
          <w:iCs/>
          <w:sz w:val="23"/>
          <w:szCs w:val="23"/>
        </w:rPr>
        <w:t>D.Lgs</w:t>
      </w:r>
      <w:proofErr w:type="gramEnd"/>
      <w:r w:rsidRPr="00D86DC5">
        <w:rPr>
          <w:rFonts w:ascii="Garamond" w:hAnsi="Garamond" w:cs="Times New Roman"/>
          <w:iCs/>
          <w:sz w:val="23"/>
          <w:szCs w:val="23"/>
        </w:rPr>
        <w:t>.</w:t>
      </w:r>
      <w:proofErr w:type="spellEnd"/>
      <w:r w:rsidRPr="00D86DC5">
        <w:rPr>
          <w:rFonts w:ascii="Garamond" w:hAnsi="Garamond" w:cs="Times New Roman"/>
          <w:iCs/>
          <w:sz w:val="23"/>
          <w:szCs w:val="23"/>
        </w:rPr>
        <w:t xml:space="preserve"> 165/2001, come modificato dalla legge 190/2012, disciplina la materia delle incompatibilità, cumulo di impieghi e incarichi secondo cui, in generale, i lavoratori dipendenti delle pubbliche amministrazioni, con rapporto di lavoro a tempo pieno e indeterminato, non possono intrattenere altri rapporti di lavoro dipendente o autonomo o esercitare attività imprenditoriali.</w:t>
      </w:r>
    </w:p>
    <w:p w14:paraId="1B2C1A81" w14:textId="77777777" w:rsidR="00853253" w:rsidRPr="00D86DC5" w:rsidRDefault="00853253" w:rsidP="00853253">
      <w:pPr>
        <w:tabs>
          <w:tab w:val="left" w:pos="9356"/>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I dipendenti delle pubbliche amministrazioni possono svolgere incarichi retribuiti conferiti da altri soggetti, pubblici o privati, solo se autorizzati dall’amministrazione di appartenenza.</w:t>
      </w:r>
    </w:p>
    <w:p w14:paraId="06019265" w14:textId="77777777" w:rsidR="00853253" w:rsidRPr="00D86DC5" w:rsidRDefault="00853253" w:rsidP="00853253">
      <w:pPr>
        <w:tabs>
          <w:tab w:val="left" w:pos="9356"/>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Le amministrazioni fissano criteri oggettivi e predeterminati, che tengano conto della specifica professionalità, in base ai quali rilasciare l’autorizzazione.</w:t>
      </w:r>
    </w:p>
    <w:p w14:paraId="0559E3C5" w14:textId="77777777" w:rsidR="00853253" w:rsidRPr="00D86DC5" w:rsidRDefault="00853253" w:rsidP="00853253">
      <w:pPr>
        <w:tabs>
          <w:tab w:val="left" w:pos="9356"/>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lastRenderedPageBreak/>
        <w:t>Tali criteri sono diretti ad evitare che i dipendenti svolgano attività vietate per legge ai lavoratori della pubblica amministrazione o attività che possano comportare un impegno eccessivo facendo trascurare i doveri d’ufficio o che, infine, possano determinare un conflitto d’interesse con l’attività lavorativa, pregiudicando l'esercizio imparziale delle funzioni attribuite al dipendente.</w:t>
      </w:r>
    </w:p>
    <w:p w14:paraId="64839D15" w14:textId="1FF6C63D" w:rsidR="00853253" w:rsidRDefault="00853253" w:rsidP="00853253">
      <w:pPr>
        <w:tabs>
          <w:tab w:val="left" w:pos="9356"/>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Nel </w:t>
      </w:r>
      <w:r w:rsidRPr="001344A2">
        <w:rPr>
          <w:rFonts w:ascii="Garamond" w:hAnsi="Garamond" w:cs="Times New Roman"/>
          <w:sz w:val="23"/>
          <w:szCs w:val="23"/>
        </w:rPr>
        <w:t>presente Piano</w:t>
      </w:r>
      <w:r>
        <w:rPr>
          <w:rFonts w:ascii="Garamond" w:hAnsi="Garamond" w:cs="Times New Roman"/>
          <w:sz w:val="23"/>
          <w:szCs w:val="23"/>
        </w:rPr>
        <w:t>,</w:t>
      </w:r>
      <w:r w:rsidRPr="00D86DC5">
        <w:rPr>
          <w:rFonts w:ascii="Garamond" w:hAnsi="Garamond" w:cs="Times New Roman"/>
          <w:sz w:val="23"/>
          <w:szCs w:val="23"/>
        </w:rPr>
        <w:t xml:space="preserve"> per la corretta applicazione della misura, oltre al rispetto della vigente normativa di settore, </w:t>
      </w:r>
      <w:r w:rsidRPr="00363F56">
        <w:rPr>
          <w:rFonts w:ascii="Garamond" w:hAnsi="Garamond" w:cs="Times New Roman"/>
          <w:sz w:val="23"/>
          <w:szCs w:val="23"/>
        </w:rPr>
        <w:t>si fa riferimento alle disposizioni contenute nel Disciplinare approvato con D.G.R. n. 590 del 3 agosto 2018: “</w:t>
      </w:r>
      <w:r w:rsidRPr="00363F56">
        <w:rPr>
          <w:rFonts w:ascii="Garamond" w:hAnsi="Garamond" w:cs="Times New Roman"/>
          <w:i/>
          <w:iCs/>
          <w:sz w:val="23"/>
          <w:szCs w:val="23"/>
        </w:rPr>
        <w:t xml:space="preserve">Approvazione Disciplinare contenente criteri per lo svolgimento degli incarichi esterni da parte dei dipendenti della Giunta Regionale d'Abruzzo, conferiti da Enti Pubblici o soggetti privati” </w:t>
      </w:r>
      <w:r w:rsidRPr="00363F56">
        <w:rPr>
          <w:rFonts w:ascii="Garamond" w:hAnsi="Garamond" w:cs="Times New Roman"/>
          <w:sz w:val="23"/>
          <w:szCs w:val="23"/>
        </w:rPr>
        <w:t>ed agli indirizzi formulati dal Dipartimento Risorse.</w:t>
      </w:r>
      <w:r w:rsidRPr="00D86DC5">
        <w:rPr>
          <w:rFonts w:ascii="Garamond" w:hAnsi="Garamond" w:cs="Times New Roman"/>
          <w:sz w:val="23"/>
          <w:szCs w:val="23"/>
        </w:rPr>
        <w:t xml:space="preserve"> </w:t>
      </w:r>
      <w:bookmarkStart w:id="52" w:name="_Hlk42161722"/>
      <w:r w:rsidRPr="00D86DC5">
        <w:rPr>
          <w:rFonts w:ascii="Garamond" w:hAnsi="Garamond" w:cs="Times New Roman"/>
          <w:sz w:val="23"/>
          <w:szCs w:val="23"/>
        </w:rPr>
        <w:t xml:space="preserve">I dirigenti delle strutture regionali </w:t>
      </w:r>
      <w:r w:rsidRPr="00514EAC">
        <w:rPr>
          <w:rFonts w:ascii="Garamond" w:hAnsi="Garamond" w:cs="Times New Roman"/>
          <w:sz w:val="23"/>
          <w:szCs w:val="23"/>
        </w:rPr>
        <w:t>relazionano al RPCT ai fini della ricognizione conclusiva sul rispetto della Misura in occasione dei monitoraggi periodici</w:t>
      </w:r>
      <w:r>
        <w:rPr>
          <w:rFonts w:ascii="Garamond" w:hAnsi="Garamond" w:cs="Times New Roman"/>
          <w:sz w:val="23"/>
          <w:szCs w:val="23"/>
        </w:rPr>
        <w:t>.</w:t>
      </w:r>
    </w:p>
    <w:p w14:paraId="591FE1CF" w14:textId="77777777" w:rsidR="00C377D6" w:rsidRDefault="00C377D6" w:rsidP="00853253">
      <w:pPr>
        <w:tabs>
          <w:tab w:val="left" w:pos="9356"/>
        </w:tabs>
        <w:autoSpaceDE w:val="0"/>
        <w:autoSpaceDN w:val="0"/>
        <w:adjustRightInd w:val="0"/>
        <w:spacing w:after="0" w:line="276" w:lineRule="auto"/>
        <w:ind w:right="-1"/>
        <w:jc w:val="both"/>
        <w:rPr>
          <w:rFonts w:ascii="Garamond" w:hAnsi="Garamond" w:cs="Times New Roman"/>
          <w:sz w:val="23"/>
          <w:szCs w:val="23"/>
        </w:rPr>
      </w:pPr>
    </w:p>
    <w:p w14:paraId="21456709" w14:textId="2B277D0D" w:rsidR="007A57AE" w:rsidRPr="00926B2D" w:rsidRDefault="007A57AE" w:rsidP="00582EFE">
      <w:pPr>
        <w:spacing w:after="0" w:line="276" w:lineRule="auto"/>
        <w:ind w:right="-1"/>
        <w:jc w:val="both"/>
        <w:rPr>
          <w:rFonts w:ascii="Garamond" w:hAnsi="Garamond" w:cs="Times New Roman"/>
          <w:b/>
          <w:i/>
          <w:sz w:val="23"/>
          <w:szCs w:val="23"/>
        </w:rPr>
      </w:pPr>
      <w:bookmarkStart w:id="53" w:name="_Toc43329226"/>
      <w:bookmarkStart w:id="54" w:name="_Hlk101637424"/>
      <w:bookmarkEnd w:id="52"/>
      <w:proofErr w:type="spellStart"/>
      <w:r w:rsidRPr="009263BF">
        <w:rPr>
          <w:rFonts w:ascii="Garamond" w:hAnsi="Garamond" w:cs="Times New Roman"/>
          <w:b/>
          <w:i/>
          <w:sz w:val="23"/>
          <w:szCs w:val="23"/>
        </w:rPr>
        <w:t>Inconferibilità</w:t>
      </w:r>
      <w:proofErr w:type="spellEnd"/>
      <w:r w:rsidRPr="009263BF">
        <w:rPr>
          <w:rFonts w:ascii="Garamond" w:hAnsi="Garamond" w:cs="Times New Roman"/>
          <w:b/>
          <w:i/>
          <w:sz w:val="23"/>
          <w:szCs w:val="23"/>
        </w:rPr>
        <w:t xml:space="preserve"> ed incompatibilità degli incarichi </w:t>
      </w:r>
      <w:bookmarkEnd w:id="53"/>
      <w:r w:rsidR="0093514D">
        <w:rPr>
          <w:rFonts w:ascii="Garamond" w:hAnsi="Garamond" w:cs="Times New Roman"/>
          <w:b/>
          <w:i/>
          <w:sz w:val="23"/>
          <w:szCs w:val="23"/>
        </w:rPr>
        <w:t>(</w:t>
      </w:r>
      <w:r w:rsidR="00AD231C">
        <w:rPr>
          <w:rFonts w:ascii="Garamond" w:hAnsi="Garamond" w:cs="Times New Roman"/>
          <w:b/>
          <w:i/>
          <w:sz w:val="23"/>
          <w:szCs w:val="23"/>
        </w:rPr>
        <w:t>Allegato B - MG/7</w:t>
      </w:r>
      <w:r w:rsidR="0093514D">
        <w:rPr>
          <w:rFonts w:ascii="Garamond" w:hAnsi="Garamond" w:cs="Times New Roman"/>
          <w:b/>
          <w:i/>
          <w:sz w:val="23"/>
          <w:szCs w:val="23"/>
        </w:rPr>
        <w:t>)</w:t>
      </w:r>
    </w:p>
    <w:bookmarkEnd w:id="54"/>
    <w:p w14:paraId="4F9D5775" w14:textId="462E0E0F" w:rsidR="003D5181" w:rsidRPr="003D5181" w:rsidRDefault="00521A5A" w:rsidP="003D5181">
      <w:pPr>
        <w:tabs>
          <w:tab w:val="left" w:pos="9354"/>
        </w:tabs>
        <w:autoSpaceDE w:val="0"/>
        <w:autoSpaceDN w:val="0"/>
        <w:adjustRightInd w:val="0"/>
        <w:spacing w:after="0" w:line="276" w:lineRule="auto"/>
        <w:ind w:right="-1"/>
        <w:jc w:val="both"/>
        <w:rPr>
          <w:rFonts w:ascii="Garamond" w:hAnsi="Garamond" w:cs="Times New Roman"/>
          <w:sz w:val="23"/>
          <w:szCs w:val="23"/>
        </w:rPr>
      </w:pPr>
      <w:r>
        <w:rPr>
          <w:rFonts w:ascii="Garamond" w:hAnsi="Garamond" w:cs="Times New Roman"/>
          <w:strike/>
          <w:sz w:val="23"/>
          <w:szCs w:val="23"/>
        </w:rPr>
        <w:t>I</w:t>
      </w:r>
      <w:r w:rsidR="003D5181" w:rsidRPr="003D5181">
        <w:rPr>
          <w:rFonts w:ascii="Garamond" w:hAnsi="Garamond" w:cs="Times New Roman"/>
          <w:sz w:val="23"/>
          <w:szCs w:val="23"/>
        </w:rPr>
        <w:t xml:space="preserve">n forza della delega di cui all’art. 1, commi 49 e 50 della L. 190/2012, il </w:t>
      </w:r>
      <w:proofErr w:type="spellStart"/>
      <w:proofErr w:type="gramStart"/>
      <w:r w:rsidR="003D5181" w:rsidRPr="003D5181">
        <w:rPr>
          <w:rFonts w:ascii="Garamond" w:hAnsi="Garamond" w:cs="Times New Roman"/>
          <w:sz w:val="23"/>
          <w:szCs w:val="23"/>
        </w:rPr>
        <w:t>D.Lgs</w:t>
      </w:r>
      <w:proofErr w:type="gramEnd"/>
      <w:r w:rsidR="003D5181" w:rsidRPr="003D5181">
        <w:rPr>
          <w:rFonts w:ascii="Garamond" w:hAnsi="Garamond" w:cs="Times New Roman"/>
          <w:sz w:val="23"/>
          <w:szCs w:val="23"/>
        </w:rPr>
        <w:t>.</w:t>
      </w:r>
      <w:proofErr w:type="spellEnd"/>
      <w:r w:rsidR="003D5181" w:rsidRPr="003D5181">
        <w:rPr>
          <w:rFonts w:ascii="Garamond" w:hAnsi="Garamond" w:cs="Times New Roman"/>
          <w:sz w:val="23"/>
          <w:szCs w:val="23"/>
        </w:rPr>
        <w:t xml:space="preserve"> 39/2013 reca norme a disciplina dell’</w:t>
      </w:r>
      <w:proofErr w:type="spellStart"/>
      <w:r w:rsidR="003D5181" w:rsidRPr="003D5181">
        <w:rPr>
          <w:rFonts w:ascii="Garamond" w:hAnsi="Garamond" w:cs="Times New Roman"/>
          <w:iCs/>
          <w:sz w:val="23"/>
          <w:szCs w:val="23"/>
        </w:rPr>
        <w:t>inconferibilità</w:t>
      </w:r>
      <w:proofErr w:type="spellEnd"/>
      <w:r w:rsidR="003D5181" w:rsidRPr="003D5181">
        <w:rPr>
          <w:rFonts w:ascii="Garamond" w:hAnsi="Garamond" w:cs="Times New Roman"/>
          <w:iCs/>
          <w:sz w:val="23"/>
          <w:szCs w:val="23"/>
        </w:rPr>
        <w:t xml:space="preserve"> e dell’incompatibilità</w:t>
      </w:r>
      <w:r w:rsidR="003D5181" w:rsidRPr="003D5181">
        <w:rPr>
          <w:rFonts w:ascii="Garamond" w:hAnsi="Garamond" w:cs="Times New Roman"/>
          <w:sz w:val="23"/>
          <w:szCs w:val="23"/>
        </w:rPr>
        <w:t xml:space="preserve"> degli incarichi presso le pubbliche amministrazioni e presso gli enti di diritto privato in controllo pubblico.</w:t>
      </w:r>
    </w:p>
    <w:p w14:paraId="05F5D3A2" w14:textId="31DD00F8" w:rsidR="007A57AE" w:rsidRPr="00D86DC5" w:rsidRDefault="00AD231C"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Pr>
          <w:rFonts w:ascii="Garamond" w:hAnsi="Garamond" w:cs="Times New Roman"/>
          <w:sz w:val="23"/>
          <w:szCs w:val="23"/>
        </w:rPr>
        <w:t xml:space="preserve">L’art. 22 del </w:t>
      </w:r>
      <w:proofErr w:type="spellStart"/>
      <w:proofErr w:type="gramStart"/>
      <w:r>
        <w:rPr>
          <w:rFonts w:ascii="Garamond" w:hAnsi="Garamond" w:cs="Times New Roman"/>
          <w:sz w:val="23"/>
          <w:szCs w:val="23"/>
        </w:rPr>
        <w:t>D.Lgs</w:t>
      </w:r>
      <w:proofErr w:type="gramEnd"/>
      <w:r>
        <w:rPr>
          <w:rFonts w:ascii="Garamond" w:hAnsi="Garamond" w:cs="Times New Roman"/>
          <w:sz w:val="23"/>
          <w:szCs w:val="23"/>
        </w:rPr>
        <w:t>.</w:t>
      </w:r>
      <w:proofErr w:type="spellEnd"/>
      <w:r>
        <w:rPr>
          <w:rFonts w:ascii="Garamond" w:hAnsi="Garamond" w:cs="Times New Roman"/>
          <w:sz w:val="23"/>
          <w:szCs w:val="23"/>
        </w:rPr>
        <w:t xml:space="preserve"> 39/2013 </w:t>
      </w:r>
      <w:r w:rsidR="00CF50EF">
        <w:rPr>
          <w:rFonts w:ascii="Garamond" w:hAnsi="Garamond" w:cs="Times New Roman"/>
          <w:sz w:val="23"/>
          <w:szCs w:val="23"/>
        </w:rPr>
        <w:t>recita: “</w:t>
      </w:r>
      <w:r w:rsidR="00CF50EF" w:rsidRPr="00CF50EF">
        <w:rPr>
          <w:rFonts w:ascii="Garamond" w:hAnsi="Garamond" w:cs="Times New Roman"/>
          <w:i/>
          <w:sz w:val="23"/>
          <w:szCs w:val="23"/>
        </w:rPr>
        <w:t>L</w:t>
      </w:r>
      <w:r w:rsidR="007A57AE" w:rsidRPr="00CF50EF">
        <w:rPr>
          <w:rFonts w:ascii="Garamond" w:hAnsi="Garamond" w:cs="Times New Roman"/>
          <w:i/>
          <w:sz w:val="23"/>
          <w:szCs w:val="23"/>
        </w:rPr>
        <w:t>e disp</w:t>
      </w:r>
      <w:r w:rsidRPr="00CF50EF">
        <w:rPr>
          <w:rFonts w:ascii="Garamond" w:hAnsi="Garamond" w:cs="Times New Roman"/>
          <w:i/>
          <w:sz w:val="23"/>
          <w:szCs w:val="23"/>
        </w:rPr>
        <w:t xml:space="preserve">osizioni </w:t>
      </w:r>
      <w:r w:rsidR="00CF50EF" w:rsidRPr="00CF50EF">
        <w:rPr>
          <w:rFonts w:ascii="Garamond" w:hAnsi="Garamond" w:cs="Times New Roman"/>
          <w:i/>
          <w:sz w:val="23"/>
          <w:szCs w:val="23"/>
        </w:rPr>
        <w:t xml:space="preserve">del presente </w:t>
      </w:r>
      <w:r w:rsidRPr="00CF50EF">
        <w:rPr>
          <w:rFonts w:ascii="Garamond" w:hAnsi="Garamond" w:cs="Times New Roman"/>
          <w:i/>
          <w:sz w:val="23"/>
          <w:szCs w:val="23"/>
        </w:rPr>
        <w:t xml:space="preserve">decreto </w:t>
      </w:r>
      <w:r w:rsidR="00CF50EF" w:rsidRPr="00CF50EF">
        <w:rPr>
          <w:rFonts w:ascii="Garamond" w:hAnsi="Garamond" w:cs="Times New Roman"/>
          <w:i/>
          <w:sz w:val="23"/>
          <w:szCs w:val="23"/>
        </w:rPr>
        <w:t>recano norme di attuazione degli articoli 54 e 97 della Costituzione e prevalgono sulle</w:t>
      </w:r>
      <w:r w:rsidR="007A57AE" w:rsidRPr="00CF50EF">
        <w:rPr>
          <w:rFonts w:ascii="Garamond" w:hAnsi="Garamond" w:cs="Times New Roman"/>
          <w:i/>
          <w:sz w:val="23"/>
          <w:szCs w:val="23"/>
        </w:rPr>
        <w:t xml:space="preserve"> diverse disposizioni di legge regionale </w:t>
      </w:r>
      <w:r w:rsidR="00CF50EF" w:rsidRPr="00CF50EF">
        <w:rPr>
          <w:rFonts w:ascii="Garamond" w:hAnsi="Garamond" w:cs="Times New Roman"/>
          <w:i/>
          <w:sz w:val="23"/>
          <w:szCs w:val="23"/>
        </w:rPr>
        <w:t xml:space="preserve">in materia di </w:t>
      </w:r>
      <w:proofErr w:type="spellStart"/>
      <w:r w:rsidR="00CF50EF" w:rsidRPr="00CF50EF">
        <w:rPr>
          <w:rFonts w:ascii="Garamond" w:hAnsi="Garamond" w:cs="Times New Roman"/>
          <w:i/>
          <w:sz w:val="23"/>
          <w:szCs w:val="23"/>
        </w:rPr>
        <w:t>inconferibilità</w:t>
      </w:r>
      <w:proofErr w:type="spellEnd"/>
      <w:r w:rsidR="00CF50EF" w:rsidRPr="00CF50EF">
        <w:rPr>
          <w:rFonts w:ascii="Garamond" w:hAnsi="Garamond" w:cs="Times New Roman"/>
          <w:i/>
          <w:sz w:val="23"/>
          <w:szCs w:val="23"/>
        </w:rPr>
        <w:t xml:space="preserve"> e incompatibilità di incarichi …</w:t>
      </w:r>
      <w:r w:rsidR="00CF50EF">
        <w:rPr>
          <w:rFonts w:ascii="Garamond" w:hAnsi="Garamond" w:cs="Times New Roman"/>
          <w:sz w:val="23"/>
          <w:szCs w:val="23"/>
        </w:rPr>
        <w:t>”</w:t>
      </w:r>
      <w:r w:rsidR="007A57AE" w:rsidRPr="00D86DC5">
        <w:rPr>
          <w:rFonts w:ascii="Garamond" w:hAnsi="Garamond" w:cs="Times New Roman"/>
          <w:sz w:val="23"/>
          <w:szCs w:val="23"/>
        </w:rPr>
        <w:t>.</w:t>
      </w:r>
    </w:p>
    <w:p w14:paraId="6781C8AD" w14:textId="787BC0FC"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La legge assegna al</w:t>
      </w:r>
      <w:r w:rsidR="007413AA">
        <w:rPr>
          <w:rFonts w:ascii="Garamond" w:hAnsi="Garamond" w:cs="Times New Roman"/>
          <w:sz w:val="23"/>
          <w:szCs w:val="23"/>
        </w:rPr>
        <w:t xml:space="preserve"> </w:t>
      </w:r>
      <w:r w:rsidRPr="00D86DC5">
        <w:rPr>
          <w:rFonts w:ascii="Garamond" w:hAnsi="Garamond" w:cs="Times New Roman"/>
          <w:sz w:val="23"/>
          <w:szCs w:val="23"/>
        </w:rPr>
        <w:t>RPCT un ruolo cen</w:t>
      </w:r>
      <w:r w:rsidR="007413AA">
        <w:rPr>
          <w:rFonts w:ascii="Garamond" w:hAnsi="Garamond" w:cs="Times New Roman"/>
          <w:sz w:val="23"/>
          <w:szCs w:val="23"/>
        </w:rPr>
        <w:t xml:space="preserve">trale, dovendo lo stesso curare, </w:t>
      </w:r>
      <w:r w:rsidRPr="007413AA">
        <w:rPr>
          <w:rFonts w:ascii="Garamond" w:hAnsi="Garamond" w:cs="Times New Roman"/>
          <w:sz w:val="23"/>
          <w:szCs w:val="23"/>
        </w:rPr>
        <w:t xml:space="preserve">anche attraverso le disposizioni del piano anticorruzione, che nell’amministrazione, ente pubblico e ente di diritto privato in controllo pubblico siano rispettate le disposizioni del decreto. </w:t>
      </w:r>
      <w:r w:rsidRPr="00521A5A">
        <w:rPr>
          <w:rFonts w:ascii="Garamond" w:hAnsi="Garamond" w:cs="Times New Roman"/>
          <w:sz w:val="23"/>
          <w:szCs w:val="23"/>
        </w:rPr>
        <w:t xml:space="preserve">A tal fine il Responsabile </w:t>
      </w:r>
      <w:r w:rsidRPr="00521A5A">
        <w:rPr>
          <w:rFonts w:ascii="Garamond" w:hAnsi="Garamond" w:cs="Times New Roman"/>
          <w:iCs/>
          <w:sz w:val="23"/>
          <w:szCs w:val="23"/>
        </w:rPr>
        <w:t xml:space="preserve">contesta </w:t>
      </w:r>
      <w:r w:rsidRPr="00521A5A">
        <w:rPr>
          <w:rFonts w:ascii="Garamond" w:hAnsi="Garamond" w:cs="Times New Roman"/>
          <w:sz w:val="23"/>
          <w:szCs w:val="23"/>
        </w:rPr>
        <w:t xml:space="preserve">all’interessato l’esistenza o l’insorgere delle situazioni di </w:t>
      </w:r>
      <w:proofErr w:type="spellStart"/>
      <w:r w:rsidRPr="00521A5A">
        <w:rPr>
          <w:rFonts w:ascii="Garamond" w:hAnsi="Garamond" w:cs="Times New Roman"/>
          <w:sz w:val="23"/>
          <w:szCs w:val="23"/>
        </w:rPr>
        <w:t>in</w:t>
      </w:r>
      <w:r w:rsidR="007413AA" w:rsidRPr="00521A5A">
        <w:rPr>
          <w:rFonts w:ascii="Garamond" w:hAnsi="Garamond" w:cs="Times New Roman"/>
          <w:sz w:val="23"/>
          <w:szCs w:val="23"/>
        </w:rPr>
        <w:t>conferibilità</w:t>
      </w:r>
      <w:proofErr w:type="spellEnd"/>
      <w:r w:rsidR="007413AA" w:rsidRPr="00521A5A">
        <w:rPr>
          <w:rFonts w:ascii="Garamond" w:hAnsi="Garamond" w:cs="Times New Roman"/>
          <w:sz w:val="23"/>
          <w:szCs w:val="23"/>
        </w:rPr>
        <w:t xml:space="preserve"> o incompatibilità</w:t>
      </w:r>
      <w:r w:rsidRPr="00521A5A">
        <w:rPr>
          <w:rFonts w:ascii="Garamond" w:hAnsi="Garamond" w:cs="Times New Roman"/>
          <w:sz w:val="23"/>
          <w:szCs w:val="23"/>
        </w:rPr>
        <w:t xml:space="preserve"> (cfr. art. 15, co. 1, </w:t>
      </w:r>
      <w:proofErr w:type="spellStart"/>
      <w:proofErr w:type="gramStart"/>
      <w:r w:rsidR="007413AA" w:rsidRPr="00521A5A">
        <w:rPr>
          <w:rFonts w:ascii="Garamond" w:hAnsi="Garamond" w:cs="Times New Roman"/>
          <w:sz w:val="23"/>
          <w:szCs w:val="23"/>
        </w:rPr>
        <w:t>D.Lgs</w:t>
      </w:r>
      <w:proofErr w:type="gramEnd"/>
      <w:r w:rsidR="007413AA" w:rsidRPr="00521A5A">
        <w:rPr>
          <w:rFonts w:ascii="Garamond" w:hAnsi="Garamond" w:cs="Times New Roman"/>
          <w:sz w:val="23"/>
          <w:szCs w:val="23"/>
        </w:rPr>
        <w:t>.</w:t>
      </w:r>
      <w:proofErr w:type="spellEnd"/>
      <w:r w:rsidR="007413AA" w:rsidRPr="00521A5A">
        <w:rPr>
          <w:rFonts w:ascii="Garamond" w:hAnsi="Garamond" w:cs="Times New Roman"/>
          <w:sz w:val="23"/>
          <w:szCs w:val="23"/>
        </w:rPr>
        <w:t xml:space="preserve"> 39/2013</w:t>
      </w:r>
      <w:r w:rsidRPr="00521A5A">
        <w:rPr>
          <w:rFonts w:ascii="Garamond" w:hAnsi="Garamond" w:cs="Times New Roman"/>
          <w:sz w:val="23"/>
          <w:szCs w:val="23"/>
        </w:rPr>
        <w:t>).</w:t>
      </w:r>
    </w:p>
    <w:p w14:paraId="78FC87DC" w14:textId="0AACB42F"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L’ANAC con le Linee Guida adottate in materia (delibera n. 833 del 3 agosto 2016) ha </w:t>
      </w:r>
      <w:r w:rsidR="00C542C5">
        <w:rPr>
          <w:rFonts w:ascii="Garamond" w:hAnsi="Garamond" w:cs="Times New Roman"/>
          <w:sz w:val="23"/>
          <w:szCs w:val="23"/>
        </w:rPr>
        <w:t>precisato</w:t>
      </w:r>
      <w:r w:rsidRPr="00D86DC5">
        <w:rPr>
          <w:rFonts w:ascii="Garamond" w:hAnsi="Garamond" w:cs="Times New Roman"/>
          <w:sz w:val="23"/>
          <w:szCs w:val="23"/>
        </w:rPr>
        <w:t xml:space="preserve"> che il procedimento di cui all’art. 15, co. 1, del decreto debba comunque svolgersi nel rispetto del principio del contraddittorio. Il RPCT deve, pertanto, assumere un atto di contestazione da portare a conoscenza </w:t>
      </w:r>
      <w:r w:rsidR="00975DAA" w:rsidRPr="00975DAA">
        <w:rPr>
          <w:rFonts w:ascii="Garamond" w:hAnsi="Garamond" w:cs="Times New Roman"/>
          <w:sz w:val="23"/>
          <w:szCs w:val="23"/>
        </w:rPr>
        <w:t>sia del titolare dell’incarico che dei soggetti che lo hanno conferito</w:t>
      </w:r>
      <w:r w:rsidR="00975DAA">
        <w:rPr>
          <w:rFonts w:ascii="Garamond" w:hAnsi="Garamond" w:cs="Times New Roman"/>
          <w:sz w:val="23"/>
          <w:szCs w:val="23"/>
        </w:rPr>
        <w:t>.</w:t>
      </w:r>
    </w:p>
    <w:p w14:paraId="0AF4FC29" w14:textId="77777777" w:rsidR="00300950" w:rsidRPr="00D86DC5" w:rsidRDefault="00300950"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Si ritiene qui di richiamare </w:t>
      </w:r>
      <w:r w:rsidR="00FD08F4" w:rsidRPr="00D86DC5">
        <w:rPr>
          <w:rFonts w:ascii="Garamond" w:hAnsi="Garamond" w:cs="Times New Roman"/>
          <w:sz w:val="23"/>
          <w:szCs w:val="23"/>
        </w:rPr>
        <w:t>l’attenzione sulle gravi conseguenze previste da</w:t>
      </w:r>
      <w:r w:rsidRPr="00D86DC5">
        <w:rPr>
          <w:rFonts w:ascii="Garamond" w:hAnsi="Garamond" w:cs="Times New Roman"/>
          <w:sz w:val="23"/>
          <w:szCs w:val="23"/>
        </w:rPr>
        <w:t xml:space="preserve">l </w:t>
      </w:r>
      <w:proofErr w:type="spellStart"/>
      <w:proofErr w:type="gramStart"/>
      <w:r w:rsidRPr="00D86DC5">
        <w:rPr>
          <w:rFonts w:ascii="Garamond" w:hAnsi="Garamond" w:cs="Times New Roman"/>
          <w:sz w:val="23"/>
          <w:szCs w:val="23"/>
        </w:rPr>
        <w:t>D.Lgs</w:t>
      </w:r>
      <w:proofErr w:type="gramEnd"/>
      <w:r w:rsidRPr="00D86DC5">
        <w:rPr>
          <w:rFonts w:ascii="Garamond" w:hAnsi="Garamond" w:cs="Times New Roman"/>
          <w:sz w:val="23"/>
          <w:szCs w:val="23"/>
        </w:rPr>
        <w:t>.</w:t>
      </w:r>
      <w:proofErr w:type="spellEnd"/>
      <w:r w:rsidRPr="00D86DC5">
        <w:rPr>
          <w:rFonts w:ascii="Garamond" w:hAnsi="Garamond" w:cs="Times New Roman"/>
          <w:sz w:val="23"/>
          <w:szCs w:val="23"/>
        </w:rPr>
        <w:t xml:space="preserve"> 39/2013</w:t>
      </w:r>
      <w:r w:rsidR="00FD08F4" w:rsidRPr="00D86DC5">
        <w:rPr>
          <w:rFonts w:ascii="Garamond" w:hAnsi="Garamond" w:cs="Times New Roman"/>
          <w:sz w:val="23"/>
          <w:szCs w:val="23"/>
        </w:rPr>
        <w:t>, riportandone testualmente le relative disposizioni,</w:t>
      </w:r>
      <w:r w:rsidRPr="00D86DC5">
        <w:rPr>
          <w:rFonts w:ascii="Garamond" w:hAnsi="Garamond" w:cs="Times New Roman"/>
          <w:sz w:val="23"/>
          <w:szCs w:val="23"/>
        </w:rPr>
        <w:t xml:space="preserve"> per gli atti di conferimento adottati in violazione delle disposizioni ivi contenute:</w:t>
      </w:r>
    </w:p>
    <w:p w14:paraId="737A6079" w14:textId="77777777" w:rsidR="00300950" w:rsidRPr="00D86DC5" w:rsidRDefault="00300950" w:rsidP="00582EFE">
      <w:pPr>
        <w:tabs>
          <w:tab w:val="left" w:pos="9354"/>
        </w:tabs>
        <w:autoSpaceDE w:val="0"/>
        <w:autoSpaceDN w:val="0"/>
        <w:adjustRightInd w:val="0"/>
        <w:spacing w:after="0" w:line="276" w:lineRule="auto"/>
        <w:ind w:right="-1"/>
        <w:jc w:val="both"/>
        <w:rPr>
          <w:rFonts w:ascii="Garamond" w:hAnsi="Garamond" w:cs="Times New Roman"/>
          <w:i/>
          <w:sz w:val="23"/>
          <w:szCs w:val="23"/>
        </w:rPr>
      </w:pPr>
      <w:r w:rsidRPr="00643B98">
        <w:rPr>
          <w:rFonts w:ascii="Garamond" w:hAnsi="Garamond" w:cs="Times New Roman"/>
          <w:sz w:val="23"/>
          <w:szCs w:val="23"/>
        </w:rPr>
        <w:t>«Art. 17</w:t>
      </w:r>
      <w:r w:rsidR="00FD08F4" w:rsidRPr="00D86DC5">
        <w:rPr>
          <w:rFonts w:ascii="Garamond" w:hAnsi="Garamond" w:cs="Times New Roman"/>
          <w:sz w:val="23"/>
          <w:szCs w:val="23"/>
        </w:rPr>
        <w:t> </w:t>
      </w:r>
      <w:r w:rsidR="00F02A61" w:rsidRPr="00D86DC5">
        <w:rPr>
          <w:rFonts w:ascii="Garamond" w:hAnsi="Garamond" w:cs="Times New Roman"/>
          <w:sz w:val="23"/>
          <w:szCs w:val="23"/>
        </w:rPr>
        <w:t>(</w:t>
      </w:r>
      <w:r w:rsidRPr="00D86DC5">
        <w:rPr>
          <w:rFonts w:ascii="Garamond" w:hAnsi="Garamond" w:cs="Times New Roman"/>
          <w:i/>
          <w:sz w:val="23"/>
          <w:szCs w:val="23"/>
        </w:rPr>
        <w:t>Nullità degli incarichi conferiti in violazione delle disposizioni del presente decreto</w:t>
      </w:r>
      <w:r w:rsidR="00F02A61" w:rsidRPr="00D86DC5">
        <w:rPr>
          <w:rFonts w:ascii="Garamond" w:hAnsi="Garamond" w:cs="Times New Roman"/>
          <w:i/>
          <w:sz w:val="23"/>
          <w:szCs w:val="23"/>
        </w:rPr>
        <w:t>)</w:t>
      </w:r>
    </w:p>
    <w:p w14:paraId="38D3E8E9" w14:textId="77777777" w:rsidR="00300950" w:rsidRPr="00300950" w:rsidRDefault="00300950" w:rsidP="00582EFE">
      <w:pPr>
        <w:tabs>
          <w:tab w:val="left" w:pos="9354"/>
        </w:tabs>
        <w:autoSpaceDE w:val="0"/>
        <w:autoSpaceDN w:val="0"/>
        <w:adjustRightInd w:val="0"/>
        <w:spacing w:after="0" w:line="276" w:lineRule="auto"/>
        <w:ind w:right="-1"/>
        <w:jc w:val="both"/>
        <w:rPr>
          <w:rFonts w:ascii="Garamond" w:hAnsi="Garamond" w:cs="Times New Roman"/>
          <w:i/>
          <w:sz w:val="23"/>
          <w:szCs w:val="23"/>
        </w:rPr>
      </w:pPr>
      <w:r w:rsidRPr="00D86DC5">
        <w:rPr>
          <w:rFonts w:ascii="Garamond" w:hAnsi="Garamond" w:cs="Times New Roman"/>
          <w:sz w:val="23"/>
          <w:szCs w:val="23"/>
        </w:rPr>
        <w:t>1.</w:t>
      </w:r>
      <w:r w:rsidRPr="00300950">
        <w:rPr>
          <w:rFonts w:ascii="Garamond" w:hAnsi="Garamond" w:cs="Times New Roman"/>
          <w:sz w:val="23"/>
          <w:szCs w:val="23"/>
        </w:rPr>
        <w:t xml:space="preserve">  </w:t>
      </w:r>
      <w:r w:rsidRPr="00300950">
        <w:rPr>
          <w:rFonts w:ascii="Garamond" w:hAnsi="Garamond" w:cs="Times New Roman"/>
          <w:i/>
          <w:sz w:val="23"/>
          <w:szCs w:val="23"/>
        </w:rPr>
        <w:t xml:space="preserve">Gli atti di conferimento di incarichi adottati in violazione delle disposizioni del presente decreto e i relativi contratti sono </w:t>
      </w:r>
      <w:r w:rsidRPr="00300950">
        <w:rPr>
          <w:rFonts w:ascii="Garamond" w:hAnsi="Garamond" w:cs="Times New Roman"/>
          <w:i/>
          <w:sz w:val="23"/>
          <w:szCs w:val="23"/>
          <w:u w:val="single"/>
        </w:rPr>
        <w:t>nulli</w:t>
      </w:r>
      <w:r w:rsidRPr="00D86DC5">
        <w:rPr>
          <w:rFonts w:ascii="Garamond" w:hAnsi="Garamond" w:cs="Times New Roman"/>
          <w:i/>
          <w:sz w:val="23"/>
          <w:szCs w:val="23"/>
        </w:rPr>
        <w:t>»</w:t>
      </w:r>
      <w:r w:rsidR="00FD08F4" w:rsidRPr="00D86DC5">
        <w:rPr>
          <w:rFonts w:ascii="Garamond" w:hAnsi="Garamond" w:cs="Times New Roman"/>
          <w:i/>
          <w:sz w:val="23"/>
          <w:szCs w:val="23"/>
        </w:rPr>
        <w:t>.</w:t>
      </w:r>
    </w:p>
    <w:p w14:paraId="349AFC4D" w14:textId="77777777" w:rsidR="00FD08F4" w:rsidRPr="00D86DC5" w:rsidRDefault="00300950"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643B98">
        <w:rPr>
          <w:rFonts w:ascii="Garamond" w:hAnsi="Garamond" w:cs="Times New Roman"/>
          <w:sz w:val="23"/>
          <w:szCs w:val="23"/>
        </w:rPr>
        <w:t>«</w:t>
      </w:r>
      <w:r w:rsidR="00FD08F4" w:rsidRPr="00643B98">
        <w:rPr>
          <w:rFonts w:ascii="Garamond" w:hAnsi="Garamond" w:cs="Times New Roman"/>
          <w:sz w:val="23"/>
          <w:szCs w:val="23"/>
        </w:rPr>
        <w:t>Art. 20</w:t>
      </w:r>
      <w:r w:rsidR="00FD08F4" w:rsidRPr="00D86DC5">
        <w:rPr>
          <w:rFonts w:ascii="Garamond" w:hAnsi="Garamond" w:cs="Times New Roman"/>
          <w:sz w:val="23"/>
          <w:szCs w:val="23"/>
        </w:rPr>
        <w:t> </w:t>
      </w:r>
      <w:r w:rsidR="00F02A61" w:rsidRPr="00D86DC5">
        <w:rPr>
          <w:rFonts w:ascii="Garamond" w:hAnsi="Garamond" w:cs="Times New Roman"/>
          <w:sz w:val="23"/>
          <w:szCs w:val="23"/>
        </w:rPr>
        <w:t>(</w:t>
      </w:r>
      <w:r w:rsidR="00FD08F4" w:rsidRPr="00D86DC5">
        <w:rPr>
          <w:rFonts w:ascii="Garamond" w:hAnsi="Garamond" w:cs="Times New Roman"/>
          <w:i/>
          <w:sz w:val="23"/>
          <w:szCs w:val="23"/>
        </w:rPr>
        <w:t xml:space="preserve">Dichiarazione sulla insussistenza di cause di </w:t>
      </w:r>
      <w:proofErr w:type="spellStart"/>
      <w:r w:rsidR="00FD08F4" w:rsidRPr="00D86DC5">
        <w:rPr>
          <w:rFonts w:ascii="Garamond" w:hAnsi="Garamond" w:cs="Times New Roman"/>
          <w:i/>
          <w:sz w:val="23"/>
          <w:szCs w:val="23"/>
        </w:rPr>
        <w:t>inconferibilità</w:t>
      </w:r>
      <w:proofErr w:type="spellEnd"/>
      <w:r w:rsidR="00FD08F4" w:rsidRPr="00D86DC5">
        <w:rPr>
          <w:rFonts w:ascii="Garamond" w:hAnsi="Garamond" w:cs="Times New Roman"/>
          <w:i/>
          <w:sz w:val="23"/>
          <w:szCs w:val="23"/>
        </w:rPr>
        <w:t xml:space="preserve"> o incompatibilità</w:t>
      </w:r>
      <w:r w:rsidR="00F02A61" w:rsidRPr="00D86DC5">
        <w:rPr>
          <w:rFonts w:ascii="Garamond" w:hAnsi="Garamond" w:cs="Times New Roman"/>
          <w:i/>
          <w:sz w:val="23"/>
          <w:szCs w:val="23"/>
        </w:rPr>
        <w:t>)</w:t>
      </w:r>
    </w:p>
    <w:p w14:paraId="38CDDEA7" w14:textId="77777777" w:rsidR="00FD08F4" w:rsidRPr="00D86DC5" w:rsidRDefault="00FD08F4" w:rsidP="00582EFE">
      <w:pPr>
        <w:tabs>
          <w:tab w:val="left" w:pos="9354"/>
        </w:tabs>
        <w:autoSpaceDE w:val="0"/>
        <w:autoSpaceDN w:val="0"/>
        <w:adjustRightInd w:val="0"/>
        <w:spacing w:after="0" w:line="276" w:lineRule="auto"/>
        <w:ind w:right="-1"/>
        <w:jc w:val="both"/>
        <w:rPr>
          <w:rFonts w:ascii="Garamond" w:hAnsi="Garamond" w:cs="Times New Roman"/>
          <w:i/>
          <w:sz w:val="23"/>
          <w:szCs w:val="23"/>
        </w:rPr>
      </w:pPr>
      <w:r w:rsidRPr="00D86DC5">
        <w:rPr>
          <w:rFonts w:ascii="Garamond" w:hAnsi="Garamond" w:cs="Times New Roman"/>
          <w:sz w:val="23"/>
          <w:szCs w:val="23"/>
        </w:rPr>
        <w:t>1. </w:t>
      </w:r>
      <w:r w:rsidRPr="00D86DC5">
        <w:rPr>
          <w:rFonts w:ascii="Garamond" w:hAnsi="Garamond" w:cs="Times New Roman"/>
          <w:i/>
          <w:sz w:val="23"/>
          <w:szCs w:val="23"/>
        </w:rPr>
        <w:t xml:space="preserve">All'atto del conferimento dell'incarico l'interessato presenta una dichiarazione sulla insussistenza di una delle cause di </w:t>
      </w:r>
      <w:proofErr w:type="spellStart"/>
      <w:r w:rsidRPr="00D86DC5">
        <w:rPr>
          <w:rFonts w:ascii="Garamond" w:hAnsi="Garamond" w:cs="Times New Roman"/>
          <w:i/>
          <w:sz w:val="23"/>
          <w:szCs w:val="23"/>
        </w:rPr>
        <w:t>inconferibilità</w:t>
      </w:r>
      <w:proofErr w:type="spellEnd"/>
      <w:r w:rsidRPr="00D86DC5">
        <w:rPr>
          <w:rFonts w:ascii="Garamond" w:hAnsi="Garamond" w:cs="Times New Roman"/>
          <w:i/>
          <w:sz w:val="23"/>
          <w:szCs w:val="23"/>
        </w:rPr>
        <w:t xml:space="preserve"> di cui al presente decreto.</w:t>
      </w:r>
    </w:p>
    <w:p w14:paraId="4CE38DD9" w14:textId="77777777" w:rsidR="00FD08F4" w:rsidRPr="00FD08F4" w:rsidRDefault="00FD08F4" w:rsidP="00582EFE">
      <w:pPr>
        <w:tabs>
          <w:tab w:val="left" w:pos="9354"/>
        </w:tabs>
        <w:autoSpaceDE w:val="0"/>
        <w:autoSpaceDN w:val="0"/>
        <w:adjustRightInd w:val="0"/>
        <w:spacing w:after="0" w:line="276" w:lineRule="auto"/>
        <w:ind w:right="-1"/>
        <w:jc w:val="both"/>
        <w:rPr>
          <w:rFonts w:ascii="Garamond" w:hAnsi="Garamond" w:cs="Times New Roman"/>
          <w:i/>
          <w:sz w:val="23"/>
          <w:szCs w:val="23"/>
        </w:rPr>
      </w:pPr>
      <w:r w:rsidRPr="00D86DC5">
        <w:rPr>
          <w:rFonts w:ascii="Garamond" w:hAnsi="Garamond" w:cs="Times New Roman"/>
          <w:i/>
          <w:sz w:val="23"/>
          <w:szCs w:val="23"/>
        </w:rPr>
        <w:t>2.</w:t>
      </w:r>
      <w:r w:rsidRPr="00FD08F4">
        <w:rPr>
          <w:rFonts w:ascii="Garamond" w:hAnsi="Garamond" w:cs="Times New Roman"/>
          <w:i/>
          <w:sz w:val="23"/>
          <w:szCs w:val="23"/>
        </w:rPr>
        <w:t xml:space="preserve"> </w:t>
      </w:r>
      <w:r w:rsidRPr="00D86DC5">
        <w:rPr>
          <w:rFonts w:ascii="Garamond" w:hAnsi="Garamond" w:cs="Times New Roman"/>
          <w:i/>
          <w:sz w:val="23"/>
          <w:szCs w:val="23"/>
        </w:rPr>
        <w:t>(…)</w:t>
      </w:r>
    </w:p>
    <w:p w14:paraId="50C5AE39" w14:textId="77777777" w:rsidR="00FD08F4" w:rsidRPr="00FD08F4" w:rsidRDefault="00FD08F4" w:rsidP="00582EFE">
      <w:pPr>
        <w:tabs>
          <w:tab w:val="left" w:pos="9354"/>
        </w:tabs>
        <w:autoSpaceDE w:val="0"/>
        <w:autoSpaceDN w:val="0"/>
        <w:adjustRightInd w:val="0"/>
        <w:spacing w:after="0" w:line="276" w:lineRule="auto"/>
        <w:ind w:right="-1"/>
        <w:jc w:val="both"/>
        <w:rPr>
          <w:rFonts w:ascii="Garamond" w:hAnsi="Garamond" w:cs="Times New Roman"/>
          <w:i/>
          <w:sz w:val="23"/>
          <w:szCs w:val="23"/>
        </w:rPr>
      </w:pPr>
      <w:r w:rsidRPr="00D86DC5">
        <w:rPr>
          <w:rFonts w:ascii="Garamond" w:hAnsi="Garamond" w:cs="Times New Roman"/>
          <w:i/>
          <w:sz w:val="23"/>
          <w:szCs w:val="23"/>
        </w:rPr>
        <w:t>3.</w:t>
      </w:r>
      <w:r w:rsidRPr="00FD08F4">
        <w:rPr>
          <w:rFonts w:ascii="Garamond" w:hAnsi="Garamond" w:cs="Times New Roman"/>
          <w:i/>
          <w:sz w:val="23"/>
          <w:szCs w:val="23"/>
        </w:rPr>
        <w:t xml:space="preserve"> </w:t>
      </w:r>
      <w:r w:rsidRPr="00D86DC5">
        <w:rPr>
          <w:rFonts w:ascii="Garamond" w:hAnsi="Garamond" w:cs="Times New Roman"/>
          <w:i/>
          <w:sz w:val="23"/>
          <w:szCs w:val="23"/>
        </w:rPr>
        <w:t>(…)</w:t>
      </w:r>
    </w:p>
    <w:p w14:paraId="4AB9AC3B" w14:textId="77777777" w:rsidR="00FD08F4" w:rsidRPr="00FD08F4" w:rsidRDefault="00FD08F4" w:rsidP="00582EFE">
      <w:pPr>
        <w:tabs>
          <w:tab w:val="left" w:pos="9354"/>
        </w:tabs>
        <w:autoSpaceDE w:val="0"/>
        <w:autoSpaceDN w:val="0"/>
        <w:adjustRightInd w:val="0"/>
        <w:spacing w:after="0" w:line="276" w:lineRule="auto"/>
        <w:ind w:right="-1"/>
        <w:jc w:val="both"/>
        <w:rPr>
          <w:rFonts w:ascii="Garamond" w:hAnsi="Garamond" w:cs="Times New Roman"/>
          <w:i/>
          <w:sz w:val="23"/>
          <w:szCs w:val="23"/>
        </w:rPr>
      </w:pPr>
      <w:r w:rsidRPr="00D86DC5">
        <w:rPr>
          <w:rFonts w:ascii="Garamond" w:hAnsi="Garamond" w:cs="Times New Roman"/>
          <w:i/>
          <w:sz w:val="23"/>
          <w:szCs w:val="23"/>
        </w:rPr>
        <w:t>4.</w:t>
      </w:r>
      <w:r w:rsidRPr="00FD08F4">
        <w:rPr>
          <w:rFonts w:ascii="Garamond" w:hAnsi="Garamond" w:cs="Times New Roman"/>
          <w:i/>
          <w:sz w:val="23"/>
          <w:szCs w:val="23"/>
        </w:rPr>
        <w:t xml:space="preserve">  La dichiarazione di cui al comma 1 è </w:t>
      </w:r>
      <w:r w:rsidRPr="00FD08F4">
        <w:rPr>
          <w:rFonts w:ascii="Garamond" w:hAnsi="Garamond" w:cs="Times New Roman"/>
          <w:i/>
          <w:sz w:val="23"/>
          <w:szCs w:val="23"/>
          <w:u w:val="single"/>
        </w:rPr>
        <w:t>condizione per l'acquisizione dell'efficacia dell'incarico</w:t>
      </w:r>
      <w:r w:rsidRPr="00FD08F4">
        <w:rPr>
          <w:rFonts w:ascii="Garamond" w:hAnsi="Garamond" w:cs="Times New Roman"/>
          <w:i/>
          <w:sz w:val="23"/>
          <w:szCs w:val="23"/>
        </w:rPr>
        <w:t>.</w:t>
      </w:r>
    </w:p>
    <w:p w14:paraId="50112002" w14:textId="77777777" w:rsidR="00300950" w:rsidRDefault="00FD08F4" w:rsidP="00582EFE">
      <w:pPr>
        <w:tabs>
          <w:tab w:val="left" w:pos="9354"/>
        </w:tabs>
        <w:autoSpaceDE w:val="0"/>
        <w:autoSpaceDN w:val="0"/>
        <w:adjustRightInd w:val="0"/>
        <w:spacing w:after="0" w:line="276" w:lineRule="auto"/>
        <w:ind w:right="-1"/>
        <w:jc w:val="both"/>
        <w:rPr>
          <w:rFonts w:ascii="Garamond" w:hAnsi="Garamond" w:cs="Times New Roman"/>
          <w:i/>
          <w:sz w:val="23"/>
          <w:szCs w:val="23"/>
        </w:rPr>
      </w:pPr>
      <w:r w:rsidRPr="00D86DC5">
        <w:rPr>
          <w:rFonts w:ascii="Garamond" w:hAnsi="Garamond" w:cs="Times New Roman"/>
          <w:i/>
          <w:sz w:val="23"/>
          <w:szCs w:val="23"/>
        </w:rPr>
        <w:t>5.</w:t>
      </w:r>
      <w:r w:rsidRPr="00FD08F4">
        <w:rPr>
          <w:rFonts w:ascii="Garamond" w:hAnsi="Garamond" w:cs="Times New Roman"/>
          <w:i/>
          <w:sz w:val="23"/>
          <w:szCs w:val="23"/>
        </w:rPr>
        <w:t xml:space="preserve">  Ferma restando ogni altra responsabilità, la dichiarazione mendace, accertata dalla stessa amministrazione, nel rispetto del diritto di difesa e del contraddittorio dell'interessato, comporta la </w:t>
      </w:r>
      <w:proofErr w:type="spellStart"/>
      <w:r w:rsidRPr="00FD08F4">
        <w:rPr>
          <w:rFonts w:ascii="Garamond" w:hAnsi="Garamond" w:cs="Times New Roman"/>
          <w:i/>
          <w:sz w:val="23"/>
          <w:szCs w:val="23"/>
        </w:rPr>
        <w:t>inconferibilità</w:t>
      </w:r>
      <w:proofErr w:type="spellEnd"/>
      <w:r w:rsidRPr="00FD08F4">
        <w:rPr>
          <w:rFonts w:ascii="Garamond" w:hAnsi="Garamond" w:cs="Times New Roman"/>
          <w:i/>
          <w:sz w:val="23"/>
          <w:szCs w:val="23"/>
        </w:rPr>
        <w:t xml:space="preserve"> di qualsivoglia incarico di cui al presente decreto per un periodo di 5 anni</w:t>
      </w:r>
      <w:r w:rsidR="00300950" w:rsidRPr="00D86DC5">
        <w:rPr>
          <w:rFonts w:ascii="Garamond" w:hAnsi="Garamond" w:cs="Times New Roman"/>
          <w:i/>
          <w:sz w:val="23"/>
          <w:szCs w:val="23"/>
        </w:rPr>
        <w:t>»</w:t>
      </w:r>
      <w:r w:rsidRPr="00D86DC5">
        <w:rPr>
          <w:rFonts w:ascii="Garamond" w:hAnsi="Garamond" w:cs="Times New Roman"/>
          <w:i/>
          <w:sz w:val="23"/>
          <w:szCs w:val="23"/>
        </w:rPr>
        <w:t>.</w:t>
      </w:r>
    </w:p>
    <w:p w14:paraId="3C05DEFE" w14:textId="77777777" w:rsidR="002A5D12" w:rsidRPr="00D86DC5" w:rsidRDefault="002A5D12"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Deve, infine, considerarsi che la nullità degli atti di conferimento di incarichi e dei relativi contratti, </w:t>
      </w:r>
      <w:r w:rsidR="003439E1">
        <w:rPr>
          <w:rFonts w:ascii="Garamond" w:hAnsi="Garamond" w:cs="Times New Roman"/>
          <w:sz w:val="23"/>
          <w:szCs w:val="23"/>
        </w:rPr>
        <w:t>comporta anche la sanzione i</w:t>
      </w:r>
      <w:r w:rsidRPr="00D86DC5">
        <w:rPr>
          <w:rFonts w:ascii="Garamond" w:hAnsi="Garamond" w:cs="Times New Roman"/>
          <w:sz w:val="23"/>
          <w:szCs w:val="23"/>
        </w:rPr>
        <w:t>nibitoria di cui all’art. 18, co. 2 del decreto (“</w:t>
      </w:r>
      <w:r w:rsidRPr="00832854">
        <w:rPr>
          <w:rFonts w:ascii="Garamond" w:hAnsi="Garamond" w:cs="Times New Roman"/>
          <w:i/>
          <w:sz w:val="23"/>
          <w:szCs w:val="23"/>
        </w:rPr>
        <w:t>i componenti degli organi che abbiano conferito incarichi dichiarati nulli non possono per tre mesi conferire gli incarichi di loro competenza</w:t>
      </w:r>
      <w:r w:rsidRPr="00D86DC5">
        <w:rPr>
          <w:rFonts w:ascii="Garamond" w:hAnsi="Garamond" w:cs="Times New Roman"/>
          <w:sz w:val="23"/>
          <w:szCs w:val="23"/>
        </w:rPr>
        <w:t>”).</w:t>
      </w:r>
    </w:p>
    <w:p w14:paraId="20C6ADE2" w14:textId="6BC0C3A2" w:rsidR="00431293" w:rsidRPr="004D4ACD" w:rsidRDefault="00431293" w:rsidP="003410E5">
      <w:pPr>
        <w:tabs>
          <w:tab w:val="left" w:pos="9354"/>
        </w:tabs>
        <w:autoSpaceDE w:val="0"/>
        <w:autoSpaceDN w:val="0"/>
        <w:adjustRightInd w:val="0"/>
        <w:spacing w:after="0" w:line="276" w:lineRule="auto"/>
        <w:ind w:right="-1"/>
        <w:jc w:val="both"/>
        <w:rPr>
          <w:rFonts w:ascii="Garamond" w:hAnsi="Garamond" w:cs="Times New Roman"/>
          <w:sz w:val="23"/>
          <w:szCs w:val="23"/>
        </w:rPr>
      </w:pPr>
      <w:r w:rsidRPr="004D4ACD">
        <w:rPr>
          <w:rFonts w:ascii="Garamond" w:hAnsi="Garamond" w:cs="Times New Roman"/>
          <w:sz w:val="23"/>
          <w:szCs w:val="23"/>
        </w:rPr>
        <w:t>In linea con i</w:t>
      </w:r>
      <w:r w:rsidR="005130F1" w:rsidRPr="004D4ACD">
        <w:rPr>
          <w:rFonts w:ascii="Garamond" w:hAnsi="Garamond" w:cs="Times New Roman"/>
          <w:sz w:val="23"/>
          <w:szCs w:val="23"/>
        </w:rPr>
        <w:t>l precedente Piano</w:t>
      </w:r>
      <w:r w:rsidRPr="004D4ACD">
        <w:rPr>
          <w:rFonts w:ascii="Garamond" w:hAnsi="Garamond" w:cs="Times New Roman"/>
          <w:sz w:val="23"/>
          <w:szCs w:val="23"/>
        </w:rPr>
        <w:t>, si prevede</w:t>
      </w:r>
      <w:r w:rsidR="005130F1" w:rsidRPr="004D4ACD">
        <w:rPr>
          <w:rFonts w:ascii="Garamond" w:hAnsi="Garamond" w:cs="Times New Roman"/>
          <w:sz w:val="23"/>
          <w:szCs w:val="23"/>
        </w:rPr>
        <w:t xml:space="preserve"> l’acquisizione e la verifica della veridicità delle autodichiarazioni da parte degli uffici preposti all’istruttoria dei procedimenti di conferimento </w:t>
      </w:r>
      <w:r w:rsidR="004D4ACD" w:rsidRPr="004D4ACD">
        <w:rPr>
          <w:rFonts w:ascii="Garamond" w:hAnsi="Garamond" w:cs="Times New Roman"/>
          <w:sz w:val="23"/>
          <w:szCs w:val="23"/>
        </w:rPr>
        <w:t xml:space="preserve">degli incarichi </w:t>
      </w:r>
      <w:r w:rsidR="005130F1" w:rsidRPr="004D4ACD">
        <w:rPr>
          <w:rFonts w:ascii="Garamond" w:hAnsi="Garamond" w:cs="Times New Roman"/>
          <w:sz w:val="23"/>
          <w:szCs w:val="23"/>
        </w:rPr>
        <w:t xml:space="preserve">prima della conclusione della medesima con l’adozione del provvedimento o con la proposta di provvedimento all’organo </w:t>
      </w:r>
      <w:r w:rsidR="005130F1" w:rsidRPr="004D4ACD">
        <w:rPr>
          <w:rFonts w:ascii="Garamond" w:hAnsi="Garamond" w:cs="Times New Roman"/>
          <w:sz w:val="23"/>
          <w:szCs w:val="23"/>
        </w:rPr>
        <w:lastRenderedPageBreak/>
        <w:t>competente per l’adozione</w:t>
      </w:r>
      <w:r w:rsidR="006E5A3A" w:rsidRPr="004D4ACD">
        <w:rPr>
          <w:rFonts w:ascii="Garamond" w:hAnsi="Garamond" w:cs="Times New Roman"/>
          <w:sz w:val="23"/>
          <w:szCs w:val="23"/>
        </w:rPr>
        <w:t xml:space="preserve">, tali attività costituiscono infatti </w:t>
      </w:r>
      <w:r w:rsidR="00E16A3F" w:rsidRPr="004D4ACD">
        <w:rPr>
          <w:rFonts w:ascii="Garamond" w:hAnsi="Garamond" w:cs="Times New Roman"/>
          <w:sz w:val="23"/>
          <w:szCs w:val="23"/>
        </w:rPr>
        <w:t>componenti istruttorie sostanziali e concorrono a documentare la regolarità dei predetti provvedimenti.</w:t>
      </w:r>
    </w:p>
    <w:p w14:paraId="7B2DF7EF" w14:textId="782A68F3" w:rsidR="00E860DC" w:rsidRPr="004D4ACD" w:rsidRDefault="00431293" w:rsidP="00E860DC">
      <w:pPr>
        <w:tabs>
          <w:tab w:val="left" w:pos="9354"/>
        </w:tabs>
        <w:autoSpaceDE w:val="0"/>
        <w:autoSpaceDN w:val="0"/>
        <w:adjustRightInd w:val="0"/>
        <w:spacing w:after="0" w:line="276" w:lineRule="auto"/>
        <w:ind w:right="-1"/>
        <w:jc w:val="both"/>
        <w:rPr>
          <w:rFonts w:ascii="Garamond" w:hAnsi="Garamond" w:cs="Times New Roman"/>
          <w:sz w:val="23"/>
          <w:szCs w:val="23"/>
        </w:rPr>
      </w:pPr>
      <w:r w:rsidRPr="004D4ACD">
        <w:rPr>
          <w:rFonts w:ascii="Garamond" w:hAnsi="Garamond" w:cs="Times New Roman"/>
          <w:sz w:val="23"/>
          <w:szCs w:val="23"/>
        </w:rPr>
        <w:t>L</w:t>
      </w:r>
      <w:r w:rsidR="003410E5" w:rsidRPr="004D4ACD">
        <w:rPr>
          <w:rFonts w:ascii="Garamond" w:hAnsi="Garamond" w:cs="Times New Roman"/>
          <w:sz w:val="23"/>
          <w:szCs w:val="23"/>
        </w:rPr>
        <w:t>a formulazione descrittiva della misura e l’elencazione delle azioni da intraprendere a presidio della medesima da parte delle str</w:t>
      </w:r>
      <w:r w:rsidR="005130F1" w:rsidRPr="004D4ACD">
        <w:rPr>
          <w:rFonts w:ascii="Garamond" w:hAnsi="Garamond" w:cs="Times New Roman"/>
          <w:sz w:val="23"/>
          <w:szCs w:val="23"/>
        </w:rPr>
        <w:t xml:space="preserve">utture regionali a ciò onerate </w:t>
      </w:r>
      <w:r w:rsidR="003410E5" w:rsidRPr="004D4ACD">
        <w:rPr>
          <w:rFonts w:ascii="Garamond" w:hAnsi="Garamond" w:cs="Times New Roman"/>
          <w:sz w:val="23"/>
          <w:szCs w:val="23"/>
        </w:rPr>
        <w:t xml:space="preserve">è stata oggetto di ulteriore rivisitazione, </w:t>
      </w:r>
      <w:r w:rsidR="005130F1" w:rsidRPr="004D4ACD">
        <w:rPr>
          <w:rFonts w:ascii="Garamond" w:hAnsi="Garamond" w:cs="Times New Roman"/>
          <w:sz w:val="23"/>
          <w:szCs w:val="23"/>
        </w:rPr>
        <w:t xml:space="preserve">anche a seguito dell’acquisizione di apposito parere ANAC </w:t>
      </w:r>
      <w:r w:rsidR="006E5A3A" w:rsidRPr="004D4ACD">
        <w:rPr>
          <w:rFonts w:ascii="Garamond" w:hAnsi="Garamond" w:cs="Times New Roman"/>
          <w:sz w:val="23"/>
          <w:szCs w:val="23"/>
        </w:rPr>
        <w:t xml:space="preserve">n. 2629/2022 </w:t>
      </w:r>
      <w:r w:rsidR="005130F1" w:rsidRPr="004D4ACD">
        <w:rPr>
          <w:rFonts w:ascii="Garamond" w:hAnsi="Garamond" w:cs="Times New Roman"/>
          <w:sz w:val="23"/>
          <w:szCs w:val="23"/>
        </w:rPr>
        <w:t>in merito all’applicazione della misura</w:t>
      </w:r>
      <w:r w:rsidR="000401CA" w:rsidRPr="004D4ACD">
        <w:t xml:space="preserve"> </w:t>
      </w:r>
      <w:r w:rsidR="000401CA" w:rsidRPr="004D4ACD">
        <w:rPr>
          <w:rFonts w:ascii="Garamond" w:hAnsi="Garamond" w:cs="Times New Roman"/>
          <w:sz w:val="23"/>
          <w:szCs w:val="23"/>
        </w:rPr>
        <w:t>ai funzionari titolari di Posizione Organizzativa</w:t>
      </w:r>
      <w:r w:rsidR="005130F1" w:rsidRPr="004D4ACD">
        <w:rPr>
          <w:rFonts w:ascii="Garamond" w:hAnsi="Garamond" w:cs="Times New Roman"/>
          <w:sz w:val="23"/>
          <w:szCs w:val="23"/>
        </w:rPr>
        <w:t xml:space="preserve">, </w:t>
      </w:r>
      <w:r w:rsidR="003410E5" w:rsidRPr="004D4ACD">
        <w:rPr>
          <w:rFonts w:ascii="Garamond" w:hAnsi="Garamond" w:cs="Times New Roman"/>
          <w:sz w:val="23"/>
          <w:szCs w:val="23"/>
        </w:rPr>
        <w:t xml:space="preserve">al fine di </w:t>
      </w:r>
      <w:r w:rsidR="009D58DC" w:rsidRPr="004D4ACD">
        <w:rPr>
          <w:rFonts w:ascii="Garamond" w:hAnsi="Garamond" w:cs="Times New Roman"/>
          <w:sz w:val="23"/>
          <w:szCs w:val="23"/>
        </w:rPr>
        <w:t>chiarire i riferimenti normativi e le competenze</w:t>
      </w:r>
      <w:r w:rsidR="003410E5" w:rsidRPr="004D4ACD">
        <w:rPr>
          <w:rFonts w:ascii="Garamond" w:hAnsi="Garamond" w:cs="Times New Roman"/>
          <w:sz w:val="23"/>
          <w:szCs w:val="23"/>
        </w:rPr>
        <w:t xml:space="preserve"> </w:t>
      </w:r>
      <w:r w:rsidR="009D58DC" w:rsidRPr="004D4ACD">
        <w:rPr>
          <w:rFonts w:ascii="Garamond" w:hAnsi="Garamond" w:cs="Times New Roman"/>
          <w:sz w:val="23"/>
          <w:szCs w:val="23"/>
        </w:rPr>
        <w:t xml:space="preserve">per la sua </w:t>
      </w:r>
      <w:r w:rsidR="006E5A3A" w:rsidRPr="004D4ACD">
        <w:rPr>
          <w:rFonts w:ascii="Garamond" w:hAnsi="Garamond" w:cs="Times New Roman"/>
          <w:sz w:val="23"/>
          <w:szCs w:val="23"/>
        </w:rPr>
        <w:t>applicazione</w:t>
      </w:r>
      <w:r w:rsidR="003410E5" w:rsidRPr="004D4ACD">
        <w:rPr>
          <w:rFonts w:ascii="Garamond" w:hAnsi="Garamond" w:cs="Times New Roman"/>
          <w:sz w:val="23"/>
          <w:szCs w:val="23"/>
        </w:rPr>
        <w:t>.</w:t>
      </w:r>
      <w:r w:rsidR="004D4ACD" w:rsidRPr="004D4ACD">
        <w:rPr>
          <w:rFonts w:ascii="Garamond" w:hAnsi="Garamond" w:cs="Times New Roman"/>
          <w:sz w:val="23"/>
          <w:szCs w:val="23"/>
        </w:rPr>
        <w:t xml:space="preserve"> </w:t>
      </w:r>
      <w:r w:rsidR="00E860DC" w:rsidRPr="004D4ACD">
        <w:rPr>
          <w:rFonts w:ascii="Garamond" w:hAnsi="Garamond" w:cs="Times New Roman"/>
          <w:sz w:val="23"/>
          <w:szCs w:val="23"/>
        </w:rPr>
        <w:t>Giova ricordare, inoltre, che il trattamento dei dati relativi a condanne penali deve avvenire nel rispetto dell’art. 10 del Regolamento UE2016/679 (GDPR) in materia di protezione dei dati personali, che recita: “</w:t>
      </w:r>
      <w:r w:rsidR="00E860DC" w:rsidRPr="004D4ACD">
        <w:rPr>
          <w:rFonts w:ascii="Garamond" w:hAnsi="Garamond" w:cs="Times New Roman"/>
          <w:i/>
          <w:sz w:val="23"/>
          <w:szCs w:val="23"/>
        </w:rPr>
        <w:t>Il trattamento dei dati personali relativi alle condanne penali e ai reati o a connesse misure di sicurezza sulla base dell'articolo 6, paragrafo 1, deve avvenire soltanto sotto il controllo dell'autorità pubblica o se il trattamento è autorizzato dal diritto dell'Unione o degli Stati membri che preveda garanzie appropriate per i diritti e le libertà degli interessati. Un eventuale registro completo delle condanne penali deve essere tenuto soltanto sotto il controllo dell'autorità pubblica.</w:t>
      </w:r>
      <w:r w:rsidR="00E860DC" w:rsidRPr="004D4ACD">
        <w:rPr>
          <w:rFonts w:ascii="Garamond" w:hAnsi="Garamond" w:cs="Times New Roman"/>
          <w:sz w:val="23"/>
          <w:szCs w:val="23"/>
        </w:rPr>
        <w:t>”.</w:t>
      </w:r>
    </w:p>
    <w:p w14:paraId="23403775" w14:textId="2F448774" w:rsidR="00431293" w:rsidRDefault="00431293" w:rsidP="00431293">
      <w:pPr>
        <w:tabs>
          <w:tab w:val="left" w:pos="9354"/>
        </w:tabs>
        <w:autoSpaceDE w:val="0"/>
        <w:autoSpaceDN w:val="0"/>
        <w:adjustRightInd w:val="0"/>
        <w:spacing w:after="0" w:line="276" w:lineRule="auto"/>
        <w:ind w:right="-1"/>
        <w:jc w:val="both"/>
        <w:rPr>
          <w:rFonts w:ascii="Garamond" w:hAnsi="Garamond" w:cs="Times New Roman"/>
          <w:sz w:val="23"/>
          <w:szCs w:val="23"/>
        </w:rPr>
      </w:pPr>
      <w:r w:rsidRPr="004D4ACD">
        <w:rPr>
          <w:rFonts w:ascii="Garamond" w:hAnsi="Garamond" w:cs="Times New Roman"/>
          <w:sz w:val="23"/>
          <w:szCs w:val="23"/>
        </w:rPr>
        <w:t xml:space="preserve">Con nota circolare del Servizio Controlli e Anticorruzione </w:t>
      </w:r>
      <w:proofErr w:type="spellStart"/>
      <w:r w:rsidRPr="004D4ACD">
        <w:rPr>
          <w:rFonts w:ascii="Garamond" w:hAnsi="Garamond" w:cs="Times New Roman"/>
          <w:sz w:val="23"/>
          <w:szCs w:val="23"/>
        </w:rPr>
        <w:t>prot</w:t>
      </w:r>
      <w:proofErr w:type="spellEnd"/>
      <w:r w:rsidRPr="004D4ACD">
        <w:rPr>
          <w:rFonts w:ascii="Garamond" w:hAnsi="Garamond" w:cs="Times New Roman"/>
          <w:sz w:val="23"/>
          <w:szCs w:val="23"/>
        </w:rPr>
        <w:t xml:space="preserve">. n. 0271773/22 del 14/07/2022, sono stati forniti indirizzi in merito all’attuazione della Misura in caso di conferimento degli incarichi di Dirigente, al fine di assicurare speditezza amministrativa nel perfezionamento delle DD.GG.RR. di conferimento. In particolare i Direttori proponenti gli incarichi acquisiscono dai </w:t>
      </w:r>
      <w:proofErr w:type="spellStart"/>
      <w:r w:rsidRPr="004D4ACD">
        <w:rPr>
          <w:rFonts w:ascii="Garamond" w:hAnsi="Garamond" w:cs="Times New Roman"/>
          <w:sz w:val="23"/>
          <w:szCs w:val="23"/>
        </w:rPr>
        <w:t>nominandi</w:t>
      </w:r>
      <w:proofErr w:type="spellEnd"/>
      <w:r w:rsidRPr="004D4ACD">
        <w:rPr>
          <w:rFonts w:ascii="Garamond" w:hAnsi="Garamond" w:cs="Times New Roman"/>
          <w:sz w:val="23"/>
          <w:szCs w:val="23"/>
        </w:rPr>
        <w:t xml:space="preserve"> le dichiarazioni di assenza di cause di </w:t>
      </w:r>
      <w:proofErr w:type="spellStart"/>
      <w:r w:rsidRPr="004D4ACD">
        <w:rPr>
          <w:rFonts w:ascii="Garamond" w:hAnsi="Garamond" w:cs="Times New Roman"/>
          <w:sz w:val="23"/>
          <w:szCs w:val="23"/>
        </w:rPr>
        <w:t>inconferibilità</w:t>
      </w:r>
      <w:proofErr w:type="spellEnd"/>
      <w:r w:rsidRPr="004D4ACD">
        <w:rPr>
          <w:rFonts w:ascii="Garamond" w:hAnsi="Garamond" w:cs="Times New Roman"/>
          <w:sz w:val="23"/>
          <w:szCs w:val="23"/>
        </w:rPr>
        <w:t xml:space="preserve"> e incompatibilità e ne verificano la veridicità prima di inviare le proprie proposte agli uffici competenti a predisporre i provvedimenti da sottoporre all’approvazione della Giunta Regionale; i Direttori inviano ai suddetti uffici, in uno con le suddette proprie proposte, gli esiti </w:t>
      </w:r>
      <w:r w:rsidR="004D4ACD" w:rsidRPr="004D4ACD">
        <w:rPr>
          <w:rFonts w:ascii="Garamond" w:hAnsi="Garamond" w:cs="Times New Roman"/>
          <w:sz w:val="23"/>
          <w:szCs w:val="23"/>
        </w:rPr>
        <w:t xml:space="preserve">finali </w:t>
      </w:r>
      <w:r w:rsidRPr="004D4ACD">
        <w:rPr>
          <w:rFonts w:ascii="Garamond" w:hAnsi="Garamond" w:cs="Times New Roman"/>
          <w:sz w:val="23"/>
          <w:szCs w:val="23"/>
        </w:rPr>
        <w:t>delle verifiche effettuate.</w:t>
      </w:r>
    </w:p>
    <w:p w14:paraId="730D3418" w14:textId="77777777" w:rsidR="00C377D6" w:rsidRPr="004D4ACD" w:rsidRDefault="00C377D6" w:rsidP="00431293">
      <w:pPr>
        <w:tabs>
          <w:tab w:val="left" w:pos="9354"/>
        </w:tabs>
        <w:autoSpaceDE w:val="0"/>
        <w:autoSpaceDN w:val="0"/>
        <w:adjustRightInd w:val="0"/>
        <w:spacing w:after="0" w:line="276" w:lineRule="auto"/>
        <w:ind w:right="-1"/>
        <w:jc w:val="both"/>
        <w:rPr>
          <w:rFonts w:ascii="Garamond" w:hAnsi="Garamond" w:cs="Times New Roman"/>
          <w:sz w:val="23"/>
          <w:szCs w:val="23"/>
        </w:rPr>
      </w:pPr>
    </w:p>
    <w:p w14:paraId="331413DA" w14:textId="61FDF60B" w:rsidR="00C542C5" w:rsidRPr="00926B2D" w:rsidRDefault="00C542C5" w:rsidP="00582EFE">
      <w:pPr>
        <w:spacing w:after="0" w:line="276" w:lineRule="auto"/>
        <w:ind w:right="-1"/>
        <w:jc w:val="both"/>
        <w:rPr>
          <w:rFonts w:ascii="Garamond" w:hAnsi="Garamond" w:cs="Times New Roman"/>
          <w:b/>
          <w:i/>
          <w:sz w:val="23"/>
          <w:szCs w:val="23"/>
        </w:rPr>
      </w:pPr>
      <w:proofErr w:type="spellStart"/>
      <w:r>
        <w:rPr>
          <w:rFonts w:ascii="Garamond" w:hAnsi="Garamond" w:cs="Times New Roman"/>
          <w:b/>
          <w:i/>
          <w:sz w:val="23"/>
          <w:szCs w:val="23"/>
        </w:rPr>
        <w:t>P</w:t>
      </w:r>
      <w:r w:rsidRPr="009263BF">
        <w:rPr>
          <w:rFonts w:ascii="Garamond" w:hAnsi="Garamond" w:cs="Times New Roman"/>
          <w:b/>
          <w:i/>
          <w:sz w:val="23"/>
          <w:szCs w:val="23"/>
        </w:rPr>
        <w:t>antouflage</w:t>
      </w:r>
      <w:proofErr w:type="spellEnd"/>
      <w:r w:rsidRPr="00926B2D">
        <w:rPr>
          <w:rFonts w:ascii="Garamond" w:hAnsi="Garamond" w:cs="Times New Roman"/>
          <w:b/>
          <w:i/>
          <w:sz w:val="23"/>
          <w:szCs w:val="23"/>
        </w:rPr>
        <w:t xml:space="preserve"> </w:t>
      </w:r>
      <w:r>
        <w:rPr>
          <w:rFonts w:ascii="Garamond" w:hAnsi="Garamond" w:cs="Times New Roman"/>
          <w:b/>
          <w:i/>
          <w:sz w:val="23"/>
          <w:szCs w:val="23"/>
        </w:rPr>
        <w:t>(Allegato B - MG/8)</w:t>
      </w:r>
    </w:p>
    <w:p w14:paraId="6EF8B74F" w14:textId="7A0AE5C6" w:rsidR="007A57AE"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L'art. 1, co. 42, </w:t>
      </w:r>
      <w:proofErr w:type="spellStart"/>
      <w:r w:rsidRPr="00D86DC5">
        <w:rPr>
          <w:rFonts w:ascii="Garamond" w:hAnsi="Garamond" w:cs="Times New Roman"/>
          <w:sz w:val="23"/>
          <w:szCs w:val="23"/>
        </w:rPr>
        <w:t>lett</w:t>
      </w:r>
      <w:proofErr w:type="spellEnd"/>
      <w:r w:rsidRPr="00D86DC5">
        <w:rPr>
          <w:rFonts w:ascii="Garamond" w:hAnsi="Garamond" w:cs="Times New Roman"/>
          <w:sz w:val="23"/>
          <w:szCs w:val="23"/>
        </w:rPr>
        <w:t xml:space="preserve">. l) della L. 190/2012 ha contemplato l'ipotesi relativa alla cd. </w:t>
      </w:r>
      <w:r w:rsidRPr="00D86DC5">
        <w:rPr>
          <w:rFonts w:ascii="Garamond" w:hAnsi="Garamond" w:cs="Times New Roman"/>
          <w:i/>
          <w:iCs/>
          <w:sz w:val="23"/>
          <w:szCs w:val="23"/>
        </w:rPr>
        <w:t>"</w:t>
      </w:r>
      <w:r w:rsidRPr="00730F56">
        <w:rPr>
          <w:rFonts w:ascii="Garamond" w:hAnsi="Garamond" w:cs="Times New Roman"/>
          <w:i/>
          <w:iCs/>
          <w:sz w:val="23"/>
          <w:szCs w:val="23"/>
        </w:rPr>
        <w:t>incompatibilità successiva</w:t>
      </w:r>
      <w:r w:rsidRPr="00D86DC5">
        <w:rPr>
          <w:rFonts w:ascii="Garamond" w:hAnsi="Garamond" w:cs="Times New Roman"/>
          <w:i/>
          <w:iCs/>
          <w:sz w:val="23"/>
          <w:szCs w:val="23"/>
        </w:rPr>
        <w:t>"</w:t>
      </w:r>
      <w:r w:rsidRPr="00D86DC5">
        <w:rPr>
          <w:rFonts w:ascii="Garamond" w:hAnsi="Garamond" w:cs="Times New Roman"/>
          <w:sz w:val="23"/>
          <w:szCs w:val="23"/>
        </w:rPr>
        <w:t xml:space="preserve"> (</w:t>
      </w:r>
      <w:proofErr w:type="spellStart"/>
      <w:r w:rsidRPr="00D86DC5">
        <w:rPr>
          <w:rFonts w:ascii="Garamond" w:hAnsi="Garamond" w:cs="Times New Roman"/>
          <w:i/>
          <w:sz w:val="23"/>
          <w:szCs w:val="23"/>
        </w:rPr>
        <w:t>pantouflage</w:t>
      </w:r>
      <w:proofErr w:type="spellEnd"/>
      <w:r w:rsidRPr="00D86DC5">
        <w:rPr>
          <w:rFonts w:ascii="Garamond" w:hAnsi="Garamond" w:cs="Times New Roman"/>
          <w:sz w:val="23"/>
          <w:szCs w:val="23"/>
        </w:rPr>
        <w:t xml:space="preserve">), introducendo </w:t>
      </w:r>
      <w:r w:rsidRPr="00B220E2">
        <w:rPr>
          <w:rFonts w:ascii="Garamond" w:hAnsi="Garamond" w:cs="Times New Roman"/>
          <w:sz w:val="23"/>
          <w:szCs w:val="23"/>
        </w:rPr>
        <w:t>all'art. 53 del d.lgs. 165/2001, il co. 16-ter,</w:t>
      </w:r>
      <w:r w:rsidRPr="00D86DC5">
        <w:rPr>
          <w:rFonts w:ascii="Garamond" w:hAnsi="Garamond" w:cs="Times New Roman"/>
          <w:sz w:val="23"/>
          <w:szCs w:val="23"/>
        </w:rPr>
        <w:t xml:space="preserve"> ove è disposto il divieto, per i dipendenti che negli ultimi tre anni di servizio abbiano esercitato poteri autoritativi o negoziali per conto delle pubbliche amministrazioni, di svolgere, nei tre anni successivi alla cessazione del rapporto di lavoro, attività lavorativa o professionale presso i soggetti privati destinatari dell'attività dell'amministrazione svolta attraverso i medesimi poteri. </w:t>
      </w:r>
    </w:p>
    <w:p w14:paraId="54E6A89C" w14:textId="20FA5184" w:rsidR="00E45FBD" w:rsidRPr="005E5528" w:rsidRDefault="00743CA2" w:rsidP="00743CA2">
      <w:pPr>
        <w:tabs>
          <w:tab w:val="left" w:pos="9354"/>
        </w:tabs>
        <w:autoSpaceDE w:val="0"/>
        <w:autoSpaceDN w:val="0"/>
        <w:adjustRightInd w:val="0"/>
        <w:spacing w:after="0" w:line="276" w:lineRule="auto"/>
        <w:ind w:right="-1"/>
        <w:jc w:val="both"/>
        <w:rPr>
          <w:rFonts w:ascii="Garamond" w:hAnsi="Garamond" w:cs="Times New Roman"/>
          <w:sz w:val="23"/>
          <w:szCs w:val="23"/>
        </w:rPr>
      </w:pPr>
      <w:r w:rsidRPr="005E5528">
        <w:rPr>
          <w:rFonts w:ascii="Garamond" w:hAnsi="Garamond" w:cs="Times New Roman"/>
          <w:sz w:val="23"/>
          <w:szCs w:val="23"/>
        </w:rPr>
        <w:t>Per quanto attiene all’espressione “</w:t>
      </w:r>
      <w:r w:rsidRPr="005E5528">
        <w:rPr>
          <w:rFonts w:ascii="Garamond" w:hAnsi="Garamond" w:cs="Times New Roman"/>
          <w:i/>
          <w:iCs/>
          <w:sz w:val="23"/>
          <w:szCs w:val="23"/>
        </w:rPr>
        <w:t>attività lavorativa o professionale presso un soggetto privato destinatario dell’attività della pubblica amministrazione</w:t>
      </w:r>
      <w:r w:rsidRPr="005E5528">
        <w:rPr>
          <w:rFonts w:ascii="Garamond" w:hAnsi="Garamond" w:cs="Times New Roman"/>
          <w:sz w:val="23"/>
          <w:szCs w:val="23"/>
        </w:rPr>
        <w:t>” l’ANAC ne ha dato un’interpre</w:t>
      </w:r>
      <w:r w:rsidR="003410E5">
        <w:rPr>
          <w:rFonts w:ascii="Garamond" w:hAnsi="Garamond" w:cs="Times New Roman"/>
          <w:sz w:val="23"/>
          <w:szCs w:val="23"/>
        </w:rPr>
        <w:t xml:space="preserve">tazione ampia, ricomprendendovi </w:t>
      </w:r>
      <w:r w:rsidRPr="005E5528">
        <w:rPr>
          <w:rFonts w:ascii="Garamond" w:hAnsi="Garamond" w:cs="Times New Roman"/>
          <w:sz w:val="23"/>
          <w:szCs w:val="23"/>
        </w:rPr>
        <w:t>qualsiasi tipo di rapporto di lavoro o professionale con i soggetti privati e quindi</w:t>
      </w:r>
      <w:r w:rsidR="00E45FBD" w:rsidRPr="005E5528">
        <w:rPr>
          <w:rFonts w:ascii="Garamond" w:hAnsi="Garamond" w:cs="Times New Roman"/>
          <w:sz w:val="23"/>
          <w:szCs w:val="23"/>
        </w:rPr>
        <w:t xml:space="preserve"> sia i </w:t>
      </w:r>
      <w:r w:rsidRPr="005E5528">
        <w:rPr>
          <w:rFonts w:ascii="Garamond" w:hAnsi="Garamond" w:cs="Times New Roman"/>
          <w:sz w:val="23"/>
          <w:szCs w:val="23"/>
        </w:rPr>
        <w:t xml:space="preserve">rapporti di lavoro a tempo determinato o indeterminato </w:t>
      </w:r>
      <w:r w:rsidR="00E45FBD" w:rsidRPr="005E5528">
        <w:rPr>
          <w:rFonts w:ascii="Garamond" w:hAnsi="Garamond" w:cs="Times New Roman"/>
          <w:sz w:val="23"/>
          <w:szCs w:val="23"/>
        </w:rPr>
        <w:t>che gli</w:t>
      </w:r>
      <w:r w:rsidRPr="005E5528">
        <w:rPr>
          <w:rFonts w:ascii="Garamond" w:hAnsi="Garamond" w:cs="Times New Roman"/>
          <w:sz w:val="23"/>
          <w:szCs w:val="23"/>
        </w:rPr>
        <w:t xml:space="preserve"> incarichi o consulenze a favore dei soggetti privati</w:t>
      </w:r>
      <w:r w:rsidR="00E45FBD" w:rsidRPr="005E5528">
        <w:rPr>
          <w:rFonts w:ascii="Garamond" w:hAnsi="Garamond" w:cs="Times New Roman"/>
          <w:sz w:val="23"/>
          <w:szCs w:val="23"/>
        </w:rPr>
        <w:t>.</w:t>
      </w:r>
    </w:p>
    <w:p w14:paraId="5AE0B336" w14:textId="666EFA71" w:rsidR="00E45FBD" w:rsidRPr="005E5528" w:rsidRDefault="00E45FBD" w:rsidP="00E45FBD">
      <w:pPr>
        <w:tabs>
          <w:tab w:val="left" w:pos="9354"/>
        </w:tabs>
        <w:autoSpaceDE w:val="0"/>
        <w:autoSpaceDN w:val="0"/>
        <w:adjustRightInd w:val="0"/>
        <w:spacing w:after="0" w:line="276" w:lineRule="auto"/>
        <w:ind w:right="-1"/>
        <w:jc w:val="both"/>
        <w:rPr>
          <w:rFonts w:ascii="Garamond" w:hAnsi="Garamond" w:cs="Times New Roman"/>
          <w:sz w:val="23"/>
          <w:szCs w:val="23"/>
        </w:rPr>
      </w:pPr>
      <w:r w:rsidRPr="005E5528">
        <w:rPr>
          <w:rFonts w:ascii="Garamond" w:hAnsi="Garamond" w:cs="Times New Roman"/>
          <w:sz w:val="23"/>
          <w:szCs w:val="23"/>
        </w:rPr>
        <w:t xml:space="preserve">Risultano esclusi </w:t>
      </w:r>
      <w:r w:rsidR="00743CA2" w:rsidRPr="005E5528">
        <w:rPr>
          <w:rFonts w:ascii="Garamond" w:hAnsi="Garamond" w:cs="Times New Roman"/>
          <w:sz w:val="23"/>
          <w:szCs w:val="23"/>
        </w:rPr>
        <w:t xml:space="preserve">dal </w:t>
      </w:r>
      <w:proofErr w:type="spellStart"/>
      <w:r w:rsidR="00743CA2" w:rsidRPr="005E5528">
        <w:rPr>
          <w:rFonts w:ascii="Garamond" w:hAnsi="Garamond" w:cs="Times New Roman"/>
          <w:i/>
          <w:sz w:val="23"/>
          <w:szCs w:val="23"/>
        </w:rPr>
        <w:t>pantouflage</w:t>
      </w:r>
      <w:proofErr w:type="spellEnd"/>
      <w:r w:rsidR="00743CA2" w:rsidRPr="005E5528">
        <w:rPr>
          <w:rFonts w:ascii="Garamond" w:hAnsi="Garamond" w:cs="Times New Roman"/>
          <w:sz w:val="23"/>
          <w:szCs w:val="23"/>
        </w:rPr>
        <w:t xml:space="preserve"> gli incarichi di natura occasionale, privi, cioè, del carattere della stabilità</w:t>
      </w:r>
      <w:r w:rsidR="009F65F7" w:rsidRPr="005E5528">
        <w:rPr>
          <w:rFonts w:ascii="Garamond" w:hAnsi="Garamond" w:cs="Times New Roman"/>
          <w:sz w:val="23"/>
          <w:szCs w:val="23"/>
        </w:rPr>
        <w:t>,</w:t>
      </w:r>
      <w:r w:rsidRPr="005E5528">
        <w:rPr>
          <w:rFonts w:ascii="Garamond" w:hAnsi="Garamond" w:cs="Times New Roman"/>
          <w:sz w:val="23"/>
          <w:szCs w:val="23"/>
        </w:rPr>
        <w:t xml:space="preserve"> nonché gli incarichi attribuiti da una società </w:t>
      </w:r>
      <w:r w:rsidRPr="005E5528">
        <w:rPr>
          <w:rFonts w:ascii="Garamond" w:hAnsi="Garamond" w:cs="Times New Roman"/>
          <w:i/>
          <w:sz w:val="23"/>
          <w:szCs w:val="23"/>
        </w:rPr>
        <w:t xml:space="preserve">in </w:t>
      </w:r>
      <w:proofErr w:type="spellStart"/>
      <w:r w:rsidRPr="005E5528">
        <w:rPr>
          <w:rFonts w:ascii="Garamond" w:hAnsi="Garamond" w:cs="Times New Roman"/>
          <w:i/>
          <w:sz w:val="23"/>
          <w:szCs w:val="23"/>
        </w:rPr>
        <w:t>house</w:t>
      </w:r>
      <w:proofErr w:type="spellEnd"/>
      <w:r w:rsidRPr="005E5528">
        <w:rPr>
          <w:rFonts w:ascii="Garamond" w:hAnsi="Garamond" w:cs="Times New Roman"/>
          <w:sz w:val="23"/>
          <w:szCs w:val="23"/>
        </w:rPr>
        <w:t xml:space="preserve">  della pubblica amministrazione di provenienza dell’ex dipendente pubblico; in tal caso, l’attribuzione dell’incarico di destinazione nell’ambito di una società controllata avviene, infatti, nell’interesse della stessa amministrazione controllante e ciò determina l’assenza del dualismo di interessi pubblici/privati e del conseguente rischio di strumentalizzazione dei pubblici poteri rispetto a finalità privatistiche, che costituisce uno degli elementi essenziali della fattispecie del </w:t>
      </w:r>
      <w:proofErr w:type="spellStart"/>
      <w:r w:rsidRPr="005E5528">
        <w:rPr>
          <w:rFonts w:ascii="Garamond" w:hAnsi="Garamond" w:cs="Times New Roman"/>
          <w:i/>
          <w:sz w:val="23"/>
          <w:szCs w:val="23"/>
        </w:rPr>
        <w:t>pantouflage</w:t>
      </w:r>
      <w:proofErr w:type="spellEnd"/>
      <w:r w:rsidRPr="005E5528">
        <w:rPr>
          <w:rFonts w:ascii="Garamond" w:hAnsi="Garamond" w:cs="Times New Roman"/>
          <w:sz w:val="23"/>
          <w:szCs w:val="23"/>
        </w:rPr>
        <w:t xml:space="preserve">. Per questo si esclude la violazione del divieto di </w:t>
      </w:r>
      <w:proofErr w:type="spellStart"/>
      <w:r w:rsidRPr="005E5528">
        <w:rPr>
          <w:rFonts w:ascii="Garamond" w:hAnsi="Garamond" w:cs="Times New Roman"/>
          <w:i/>
          <w:sz w:val="23"/>
          <w:szCs w:val="23"/>
        </w:rPr>
        <w:t>pantouflage</w:t>
      </w:r>
      <w:proofErr w:type="spellEnd"/>
      <w:r w:rsidRPr="005E5528">
        <w:rPr>
          <w:rFonts w:ascii="Garamond" w:hAnsi="Garamond" w:cs="Times New Roman"/>
          <w:sz w:val="23"/>
          <w:szCs w:val="23"/>
        </w:rPr>
        <w:t xml:space="preserve"> anche nel caso in cui il soggetto giuridico destinatario dell’attività autoritativa o negoziale di un dipendente pubblico sia un ente pubblico.</w:t>
      </w:r>
    </w:p>
    <w:p w14:paraId="729C1FE3" w14:textId="05FAF4C1" w:rsidR="00743CA2" w:rsidRPr="005E5528" w:rsidRDefault="00E45FBD" w:rsidP="00E45FBD">
      <w:pPr>
        <w:tabs>
          <w:tab w:val="left" w:pos="9354"/>
        </w:tabs>
        <w:autoSpaceDE w:val="0"/>
        <w:autoSpaceDN w:val="0"/>
        <w:adjustRightInd w:val="0"/>
        <w:spacing w:after="0" w:line="276" w:lineRule="auto"/>
        <w:ind w:right="-1"/>
        <w:jc w:val="both"/>
        <w:rPr>
          <w:rFonts w:ascii="Garamond" w:hAnsi="Garamond" w:cs="Times New Roman"/>
          <w:sz w:val="23"/>
          <w:szCs w:val="23"/>
        </w:rPr>
      </w:pPr>
      <w:r w:rsidRPr="005E5528">
        <w:rPr>
          <w:rFonts w:ascii="Garamond" w:hAnsi="Garamond" w:cs="Times New Roman"/>
          <w:sz w:val="23"/>
          <w:szCs w:val="23"/>
        </w:rPr>
        <w:t xml:space="preserve">L’ANAC ha, inoltre, evidenziato l’insussistenza di </w:t>
      </w:r>
      <w:proofErr w:type="spellStart"/>
      <w:r w:rsidRPr="005E5528">
        <w:rPr>
          <w:rFonts w:ascii="Garamond" w:hAnsi="Garamond" w:cs="Times New Roman"/>
          <w:i/>
          <w:sz w:val="23"/>
          <w:szCs w:val="23"/>
        </w:rPr>
        <w:t>pantouflage</w:t>
      </w:r>
      <w:proofErr w:type="spellEnd"/>
      <w:r w:rsidRPr="005E5528">
        <w:rPr>
          <w:rFonts w:ascii="Garamond" w:hAnsi="Garamond" w:cs="Times New Roman"/>
          <w:sz w:val="23"/>
          <w:szCs w:val="23"/>
        </w:rPr>
        <w:t xml:space="preserve"> anche quando l’ente privato di destinazione </w:t>
      </w:r>
      <w:r w:rsidR="009F65F7" w:rsidRPr="005E5528">
        <w:rPr>
          <w:rFonts w:ascii="Garamond" w:hAnsi="Garamond" w:cs="Times New Roman"/>
          <w:sz w:val="23"/>
          <w:szCs w:val="23"/>
        </w:rPr>
        <w:t xml:space="preserve">che sia stato costituito successivamente alla cessazione del rapporto di pubblico impiego del dipendente, </w:t>
      </w:r>
      <w:r w:rsidRPr="005E5528">
        <w:rPr>
          <w:rFonts w:ascii="Garamond" w:hAnsi="Garamond" w:cs="Times New Roman"/>
          <w:sz w:val="23"/>
          <w:szCs w:val="23"/>
        </w:rPr>
        <w:t>non presenta profili di co</w:t>
      </w:r>
      <w:r w:rsidR="009F65F7" w:rsidRPr="005E5528">
        <w:rPr>
          <w:rFonts w:ascii="Garamond" w:hAnsi="Garamond" w:cs="Times New Roman"/>
          <w:sz w:val="23"/>
          <w:szCs w:val="23"/>
        </w:rPr>
        <w:t>ntinuità con enti già esistenti</w:t>
      </w:r>
      <w:r w:rsidRPr="005E5528">
        <w:rPr>
          <w:rFonts w:ascii="Garamond" w:hAnsi="Garamond" w:cs="Times New Roman"/>
          <w:sz w:val="23"/>
          <w:szCs w:val="23"/>
        </w:rPr>
        <w:t>.</w:t>
      </w:r>
    </w:p>
    <w:p w14:paraId="65E348FE" w14:textId="3507F45F" w:rsidR="00E45FBD" w:rsidRPr="005E5528" w:rsidRDefault="00E45FBD" w:rsidP="00E45FBD">
      <w:pPr>
        <w:tabs>
          <w:tab w:val="left" w:pos="9354"/>
        </w:tabs>
        <w:autoSpaceDE w:val="0"/>
        <w:autoSpaceDN w:val="0"/>
        <w:adjustRightInd w:val="0"/>
        <w:spacing w:after="0" w:line="276" w:lineRule="auto"/>
        <w:ind w:right="-1"/>
        <w:jc w:val="both"/>
        <w:rPr>
          <w:rFonts w:ascii="Garamond" w:hAnsi="Garamond" w:cs="Times New Roman"/>
          <w:sz w:val="23"/>
          <w:szCs w:val="23"/>
        </w:rPr>
      </w:pPr>
      <w:r w:rsidRPr="005E5528">
        <w:rPr>
          <w:rFonts w:ascii="Garamond" w:hAnsi="Garamond" w:cs="Times New Roman"/>
          <w:sz w:val="23"/>
          <w:szCs w:val="23"/>
        </w:rPr>
        <w:t xml:space="preserve">Con riferimento ai soggetti che le amministrazioni reclutano al fine di dare attuazione ai progetti del PNRR il legislatore ha escluso espressamente dal divieto di </w:t>
      </w:r>
      <w:proofErr w:type="spellStart"/>
      <w:r w:rsidRPr="005E5528">
        <w:rPr>
          <w:rFonts w:ascii="Garamond" w:hAnsi="Garamond" w:cs="Times New Roman"/>
          <w:i/>
          <w:sz w:val="23"/>
          <w:szCs w:val="23"/>
        </w:rPr>
        <w:t>pantouflage</w:t>
      </w:r>
      <w:proofErr w:type="spellEnd"/>
      <w:r w:rsidRPr="005E5528">
        <w:rPr>
          <w:rFonts w:ascii="Garamond" w:hAnsi="Garamond" w:cs="Times New Roman"/>
          <w:sz w:val="23"/>
          <w:szCs w:val="23"/>
        </w:rPr>
        <w:t xml:space="preserve"> gli incarichi non dirigenziali attribuiti con contratti di lavoro a tempo determinato o di collaborazione per i quali non trovano applicazione i divieti previsti dall’art. 53, co.16-ter, del d.lgs. n. 165/2001. L’esclusione non riguarda invece gli incarichi dirigenziali.</w:t>
      </w:r>
    </w:p>
    <w:p w14:paraId="195ECEA3" w14:textId="6A9B7434" w:rsidR="00E45FBD" w:rsidRDefault="008C0D56"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5E5528">
        <w:rPr>
          <w:rFonts w:ascii="Garamond" w:hAnsi="Garamond" w:cs="Times New Roman"/>
          <w:sz w:val="23"/>
          <w:szCs w:val="23"/>
        </w:rPr>
        <w:t>Per quanto attiene all’espressione “</w:t>
      </w:r>
      <w:r w:rsidRPr="005E5528">
        <w:rPr>
          <w:rFonts w:ascii="Garamond" w:hAnsi="Garamond" w:cs="Times New Roman"/>
          <w:i/>
          <w:iCs/>
          <w:sz w:val="23"/>
          <w:szCs w:val="23"/>
        </w:rPr>
        <w:t>poteri autoritativi o negoziali per conto delle pubbliche amministrazioni</w:t>
      </w:r>
      <w:r w:rsidRPr="005E5528">
        <w:rPr>
          <w:rFonts w:ascii="Garamond" w:hAnsi="Garamond" w:cs="Times New Roman"/>
          <w:sz w:val="23"/>
          <w:szCs w:val="23"/>
        </w:rPr>
        <w:t xml:space="preserve">”, essa è da riferirsi sia ai provvedimenti afferenti specificamente alla conclusione di contratti per l’acquisizione di beni e </w:t>
      </w:r>
      <w:r w:rsidRPr="005E5528">
        <w:rPr>
          <w:rFonts w:ascii="Garamond" w:hAnsi="Garamond" w:cs="Times New Roman"/>
          <w:sz w:val="23"/>
          <w:szCs w:val="23"/>
        </w:rPr>
        <w:lastRenderedPageBreak/>
        <w:t>servizi per la PA, sia ai provvedimenti adottati unilateralmente dalla pubblica amministrazione, quale</w:t>
      </w:r>
      <w:r w:rsidR="005E5528" w:rsidRPr="005E5528">
        <w:rPr>
          <w:rFonts w:ascii="Garamond" w:hAnsi="Garamond" w:cs="Times New Roman"/>
          <w:sz w:val="23"/>
          <w:szCs w:val="23"/>
        </w:rPr>
        <w:t xml:space="preserve"> </w:t>
      </w:r>
      <w:r w:rsidRPr="005E5528">
        <w:rPr>
          <w:rFonts w:ascii="Garamond" w:hAnsi="Garamond" w:cs="Times New Roman"/>
          <w:sz w:val="23"/>
          <w:szCs w:val="23"/>
        </w:rPr>
        <w:t>manifestazione del potere autoritativo, che incidono, modificandole, sulle situazioni giuridiche soggettive dei destinatari</w:t>
      </w:r>
      <w:r w:rsidR="00E76046" w:rsidRPr="005E5528">
        <w:rPr>
          <w:rFonts w:ascii="Garamond" w:hAnsi="Garamond" w:cs="Times New Roman"/>
          <w:sz w:val="23"/>
          <w:szCs w:val="23"/>
        </w:rPr>
        <w:t xml:space="preserve"> (atti di autorizzazione, concessione, sovvenzione, sussidi, vantaggi economici di qualunque genere)</w:t>
      </w:r>
      <w:r w:rsidRPr="005E5528">
        <w:rPr>
          <w:rFonts w:ascii="Garamond" w:hAnsi="Garamond" w:cs="Times New Roman"/>
          <w:sz w:val="23"/>
          <w:szCs w:val="23"/>
        </w:rPr>
        <w:t xml:space="preserve">. </w:t>
      </w:r>
      <w:r>
        <w:rPr>
          <w:rFonts w:ascii="Garamond" w:hAnsi="Garamond" w:cs="Times New Roman"/>
          <w:sz w:val="23"/>
          <w:szCs w:val="23"/>
        </w:rPr>
        <w:t>C</w:t>
      </w:r>
      <w:r w:rsidR="00E45FBD" w:rsidRPr="00E45FBD">
        <w:rPr>
          <w:rFonts w:ascii="Garamond" w:hAnsi="Garamond" w:cs="Times New Roman"/>
          <w:sz w:val="23"/>
          <w:szCs w:val="23"/>
        </w:rPr>
        <w:t>on riferimento ai dipendenti con poteri autoritativi e negoziali, tale definizione è riferita sia a coloro che sono titolari del potere (soggetti apicali nell’organizzazione) sia ai dipendenti che pur non essendo titolari di tali poteri, collaborano al loro esercizio svolgendo istruttorie (pareri, certificazioni, perizie), che incidono in maniera determinante sul contenuto del provvedimento finale, ancorché redatto e sottoscritto dal funzionario competente.</w:t>
      </w:r>
    </w:p>
    <w:p w14:paraId="569D46BC" w14:textId="72803D9D" w:rsidR="007A57AE" w:rsidRPr="005E5528" w:rsidRDefault="00E45FBD"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Pr>
          <w:rFonts w:ascii="Garamond" w:hAnsi="Garamond" w:cs="Times New Roman"/>
          <w:sz w:val="23"/>
          <w:szCs w:val="23"/>
        </w:rPr>
        <w:t>Il</w:t>
      </w:r>
      <w:r w:rsidR="007A57AE" w:rsidRPr="00D86DC5">
        <w:rPr>
          <w:rFonts w:ascii="Garamond" w:hAnsi="Garamond" w:cs="Times New Roman"/>
          <w:sz w:val="23"/>
          <w:szCs w:val="23"/>
        </w:rPr>
        <w:t xml:space="preserve"> vincolo</w:t>
      </w:r>
      <w:r>
        <w:rPr>
          <w:rFonts w:ascii="Garamond" w:hAnsi="Garamond" w:cs="Times New Roman"/>
          <w:sz w:val="23"/>
          <w:szCs w:val="23"/>
        </w:rPr>
        <w:t>,</w:t>
      </w:r>
      <w:r w:rsidR="007A57AE" w:rsidRPr="00D86DC5">
        <w:rPr>
          <w:rFonts w:ascii="Garamond" w:hAnsi="Garamond" w:cs="Times New Roman"/>
          <w:sz w:val="23"/>
          <w:szCs w:val="23"/>
        </w:rPr>
        <w:t xml:space="preserve"> denominato </w:t>
      </w:r>
      <w:r w:rsidR="007A57AE" w:rsidRPr="00D86DC5">
        <w:rPr>
          <w:rFonts w:ascii="Garamond" w:hAnsi="Garamond" w:cs="Times New Roman"/>
          <w:i/>
          <w:iCs/>
          <w:sz w:val="23"/>
          <w:szCs w:val="23"/>
        </w:rPr>
        <w:t xml:space="preserve">divieto di </w:t>
      </w:r>
      <w:proofErr w:type="spellStart"/>
      <w:r w:rsidR="007A57AE" w:rsidRPr="00D86DC5">
        <w:rPr>
          <w:rFonts w:ascii="Garamond" w:hAnsi="Garamond" w:cs="Times New Roman"/>
          <w:i/>
          <w:iCs/>
          <w:sz w:val="23"/>
          <w:szCs w:val="23"/>
        </w:rPr>
        <w:t>pantouflage</w:t>
      </w:r>
      <w:proofErr w:type="spellEnd"/>
      <w:r w:rsidR="007A57AE" w:rsidRPr="00D86DC5">
        <w:rPr>
          <w:rFonts w:ascii="Garamond" w:hAnsi="Garamond" w:cs="Times New Roman"/>
          <w:sz w:val="23"/>
          <w:szCs w:val="23"/>
        </w:rPr>
        <w:t xml:space="preserve"> o </w:t>
      </w:r>
      <w:r w:rsidR="007A57AE" w:rsidRPr="00D86DC5">
        <w:rPr>
          <w:rFonts w:ascii="Garamond" w:hAnsi="Garamond" w:cs="Times New Roman"/>
          <w:i/>
          <w:iCs/>
          <w:sz w:val="23"/>
          <w:szCs w:val="23"/>
        </w:rPr>
        <w:t xml:space="preserve">revolving </w:t>
      </w:r>
      <w:proofErr w:type="spellStart"/>
      <w:r w:rsidR="007A57AE" w:rsidRPr="00D86DC5">
        <w:rPr>
          <w:rFonts w:ascii="Garamond" w:hAnsi="Garamond" w:cs="Times New Roman"/>
          <w:i/>
          <w:iCs/>
          <w:sz w:val="23"/>
          <w:szCs w:val="23"/>
        </w:rPr>
        <w:t>doors</w:t>
      </w:r>
      <w:proofErr w:type="spellEnd"/>
      <w:r>
        <w:rPr>
          <w:rFonts w:ascii="Garamond" w:hAnsi="Garamond" w:cs="Times New Roman"/>
          <w:i/>
          <w:iCs/>
          <w:sz w:val="23"/>
          <w:szCs w:val="23"/>
        </w:rPr>
        <w:t xml:space="preserve">, </w:t>
      </w:r>
      <w:r w:rsidRPr="00E45FBD">
        <w:rPr>
          <w:rFonts w:ascii="Garamond" w:hAnsi="Garamond" w:cs="Times New Roman"/>
          <w:sz w:val="23"/>
          <w:szCs w:val="23"/>
        </w:rPr>
        <w:t>è</w:t>
      </w:r>
      <w:r>
        <w:rPr>
          <w:rFonts w:ascii="Garamond" w:hAnsi="Garamond" w:cs="Times New Roman"/>
          <w:i/>
          <w:iCs/>
          <w:sz w:val="23"/>
          <w:szCs w:val="23"/>
        </w:rPr>
        <w:t xml:space="preserve"> </w:t>
      </w:r>
      <w:r w:rsidR="007A57AE" w:rsidRPr="00D86DC5">
        <w:rPr>
          <w:rFonts w:ascii="Garamond" w:hAnsi="Garamond" w:cs="Times New Roman"/>
          <w:sz w:val="23"/>
          <w:szCs w:val="23"/>
        </w:rPr>
        <w:t xml:space="preserve">finalizzato ad evitare che il </w:t>
      </w:r>
      <w:r w:rsidR="007A57AE" w:rsidRPr="00D86DC5">
        <w:rPr>
          <w:rFonts w:ascii="Garamond" w:hAnsi="Garamond" w:cs="Times New Roman"/>
          <w:i/>
          <w:iCs/>
          <w:sz w:val="23"/>
          <w:szCs w:val="23"/>
        </w:rPr>
        <w:t>“dipendente pubblico”</w:t>
      </w:r>
      <w:r w:rsidR="007A57AE" w:rsidRPr="00D86DC5">
        <w:rPr>
          <w:rFonts w:ascii="Garamond" w:hAnsi="Garamond" w:cs="Times New Roman"/>
          <w:sz w:val="23"/>
          <w:szCs w:val="23"/>
        </w:rPr>
        <w:t xml:space="preserve"> possa sfruttare la conoscenza delle dinamiche organizzative che connotano gli uffici interni della pubblica amministrazione al fine di trarre vantaggi di natura patrimoniale o non patrimoniale</w:t>
      </w:r>
      <w:r w:rsidR="00EC4239">
        <w:rPr>
          <w:rFonts w:ascii="Garamond" w:hAnsi="Garamond" w:cs="Times New Roman"/>
          <w:sz w:val="23"/>
          <w:szCs w:val="23"/>
        </w:rPr>
        <w:t xml:space="preserve">. </w:t>
      </w:r>
      <w:r w:rsidR="00EC4239" w:rsidRPr="005E5528">
        <w:rPr>
          <w:rFonts w:ascii="Garamond" w:hAnsi="Garamond" w:cs="Times New Roman"/>
          <w:sz w:val="23"/>
          <w:szCs w:val="23"/>
        </w:rPr>
        <w:t>In particolare il divieto è volto a scoraggiare comportamenti impropri e non imparziali da parte del dipendente che, nell’esercizio di poteri autoritativi e negoziali, potrebbe precostituirsi situazioni lavorative vantaggiose presso il soggetto privato con cui è entrato in contatto in relazione al rapporto di lavoro, nonché a ridurre il rischio che soggetti privati possano esercitare pressioni o condizionamenti sullo svolgimento dei compiti istituzionali, prospettando al dipendente di un’amministrazione l’opportunità di assunzione o incarichi una volta cessato dal servizio.</w:t>
      </w:r>
    </w:p>
    <w:p w14:paraId="6AAF9002" w14:textId="2A11892D" w:rsidR="007A57AE"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Alla base di tale divieto si ravvisa il rispetto del principio costituzionale di trasparenza, imparzialità, buon andamento </w:t>
      </w:r>
      <w:proofErr w:type="gramStart"/>
      <w:r w:rsidRPr="00D86DC5">
        <w:rPr>
          <w:rFonts w:ascii="Garamond" w:hAnsi="Garamond" w:cs="Times New Roman"/>
          <w:sz w:val="23"/>
          <w:szCs w:val="23"/>
        </w:rPr>
        <w:t>e</w:t>
      </w:r>
      <w:proofErr w:type="gramEnd"/>
      <w:r w:rsidRPr="00D86DC5">
        <w:rPr>
          <w:rFonts w:ascii="Garamond" w:hAnsi="Garamond" w:cs="Times New Roman"/>
          <w:sz w:val="23"/>
          <w:szCs w:val="23"/>
        </w:rPr>
        <w:t xml:space="preserve"> di quello che impone ai pubblici impiegati esclusività del servizio a favore dell’Amministrazione.</w:t>
      </w:r>
    </w:p>
    <w:p w14:paraId="6C348446" w14:textId="537D9C63" w:rsidR="007A57AE"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Su tale istituto l’ANAC, con delibera n.</w:t>
      </w:r>
      <w:r w:rsidR="004B6537">
        <w:rPr>
          <w:rFonts w:ascii="Garamond" w:hAnsi="Garamond" w:cs="Times New Roman"/>
          <w:sz w:val="23"/>
          <w:szCs w:val="23"/>
        </w:rPr>
        <w:t xml:space="preserve"> </w:t>
      </w:r>
      <w:r w:rsidRPr="00D86DC5">
        <w:rPr>
          <w:rFonts w:ascii="Garamond" w:hAnsi="Garamond" w:cs="Times New Roman"/>
          <w:sz w:val="23"/>
          <w:szCs w:val="23"/>
        </w:rPr>
        <w:t xml:space="preserve">99 dell’8 febbraio 2017, nel richiamare in primo luogo l’art. 21 del </w:t>
      </w:r>
      <w:proofErr w:type="spellStart"/>
      <w:proofErr w:type="gramStart"/>
      <w:r w:rsidRPr="00D86DC5">
        <w:rPr>
          <w:rFonts w:ascii="Garamond" w:hAnsi="Garamond" w:cs="Times New Roman"/>
          <w:sz w:val="23"/>
          <w:szCs w:val="23"/>
        </w:rPr>
        <w:t>D.Lgs</w:t>
      </w:r>
      <w:proofErr w:type="gramEnd"/>
      <w:r w:rsidRPr="00D86DC5">
        <w:rPr>
          <w:rFonts w:ascii="Garamond" w:hAnsi="Garamond" w:cs="Times New Roman"/>
          <w:sz w:val="23"/>
          <w:szCs w:val="23"/>
        </w:rPr>
        <w:t>.</w:t>
      </w:r>
      <w:proofErr w:type="spellEnd"/>
      <w:r w:rsidRPr="00D86DC5">
        <w:rPr>
          <w:rFonts w:ascii="Garamond" w:hAnsi="Garamond" w:cs="Times New Roman"/>
          <w:sz w:val="23"/>
          <w:szCs w:val="23"/>
        </w:rPr>
        <w:t xml:space="preserve"> 39/2013, ha chiarito che </w:t>
      </w:r>
      <w:r w:rsidRPr="00D86DC5">
        <w:rPr>
          <w:rFonts w:ascii="Garamond" w:hAnsi="Garamond" w:cs="Times New Roman"/>
          <w:i/>
          <w:iCs/>
          <w:sz w:val="23"/>
          <w:szCs w:val="23"/>
        </w:rPr>
        <w:t>“sono considerati dipendenti delle pubbliche amministrazioni anche i soggetti titolari di uno degli incarichi di cui al presente decreto, ivi compresi i soggetti esterni con i quali l’amministrazione, l’ente pubblico o l’ente di diritto privato in controllo pubblico stabilisce un rapporto di lavoro, subordinato o autonomo. Tali divieti si applicano a far data dalla cessazione dell’incarico”</w:t>
      </w:r>
      <w:r w:rsidRPr="00D86DC5">
        <w:rPr>
          <w:rFonts w:ascii="Garamond" w:hAnsi="Garamond" w:cs="Times New Roman"/>
          <w:sz w:val="23"/>
          <w:szCs w:val="23"/>
        </w:rPr>
        <w:t xml:space="preserve">. </w:t>
      </w:r>
    </w:p>
    <w:p w14:paraId="1FF45F2A" w14:textId="1520F92E" w:rsidR="009F2440" w:rsidRPr="00DD17D1" w:rsidRDefault="00414466" w:rsidP="00414466">
      <w:pPr>
        <w:autoSpaceDE w:val="0"/>
        <w:autoSpaceDN w:val="0"/>
        <w:adjustRightInd w:val="0"/>
        <w:spacing w:after="0" w:line="276" w:lineRule="auto"/>
        <w:ind w:right="-1"/>
        <w:jc w:val="both"/>
        <w:rPr>
          <w:rFonts w:ascii="Garamond" w:hAnsi="Garamond" w:cs="Times New Roman"/>
          <w:sz w:val="23"/>
          <w:szCs w:val="23"/>
        </w:rPr>
      </w:pPr>
      <w:r w:rsidRPr="00DD17D1">
        <w:rPr>
          <w:rFonts w:ascii="Garamond" w:hAnsi="Garamond" w:cs="Times New Roman"/>
          <w:sz w:val="23"/>
          <w:szCs w:val="23"/>
        </w:rPr>
        <w:t xml:space="preserve">Come chiarito nell’emanando PNA </w:t>
      </w:r>
      <w:r w:rsidR="009F2440" w:rsidRPr="00DD17D1">
        <w:rPr>
          <w:rFonts w:ascii="Garamond" w:hAnsi="Garamond" w:cs="Times New Roman"/>
          <w:sz w:val="23"/>
          <w:szCs w:val="23"/>
        </w:rPr>
        <w:t>s</w:t>
      </w:r>
      <w:r w:rsidRPr="00DD17D1">
        <w:rPr>
          <w:rFonts w:ascii="Garamond" w:hAnsi="Garamond" w:cs="Times New Roman"/>
          <w:sz w:val="23"/>
          <w:szCs w:val="23"/>
        </w:rPr>
        <w:t xml:space="preserve">ono, infatti, assimilati ai dipendenti della PA anche i soggetti titolari di uno degli incarichi previsti dal d.lgs. n. 39/2013 espressamente indicati all’art. 1, ovvero gli incarichi amministrativi di vertice, gli incarichi dirigenziali interni </w:t>
      </w:r>
      <w:r w:rsidR="009F2440" w:rsidRPr="00DD17D1">
        <w:rPr>
          <w:rFonts w:ascii="Garamond" w:hAnsi="Garamond" w:cs="Times New Roman"/>
          <w:sz w:val="23"/>
          <w:szCs w:val="23"/>
        </w:rPr>
        <w:t>ed</w:t>
      </w:r>
      <w:r w:rsidRPr="00DD17D1">
        <w:rPr>
          <w:rFonts w:ascii="Garamond" w:hAnsi="Garamond" w:cs="Times New Roman"/>
          <w:sz w:val="23"/>
          <w:szCs w:val="23"/>
        </w:rPr>
        <w:t xml:space="preserve"> esterni, gli incarichi di amministratore di enti pubblici e di ent</w:t>
      </w:r>
      <w:r w:rsidR="004B6537" w:rsidRPr="00DD17D1">
        <w:rPr>
          <w:rFonts w:ascii="Garamond" w:hAnsi="Garamond" w:cs="Times New Roman"/>
          <w:sz w:val="23"/>
          <w:szCs w:val="23"/>
        </w:rPr>
        <w:t>i privati in controllo pubblico.</w:t>
      </w:r>
    </w:p>
    <w:p w14:paraId="583F779D" w14:textId="097F8E9F" w:rsidR="00176633" w:rsidRPr="00DD17D1" w:rsidRDefault="00176633" w:rsidP="00414466">
      <w:pPr>
        <w:autoSpaceDE w:val="0"/>
        <w:autoSpaceDN w:val="0"/>
        <w:adjustRightInd w:val="0"/>
        <w:spacing w:after="0" w:line="276" w:lineRule="auto"/>
        <w:ind w:right="-1"/>
        <w:jc w:val="both"/>
        <w:rPr>
          <w:rFonts w:ascii="Garamond" w:hAnsi="Garamond" w:cs="Times New Roman"/>
          <w:sz w:val="23"/>
          <w:szCs w:val="23"/>
        </w:rPr>
      </w:pPr>
      <w:r w:rsidRPr="00DD17D1">
        <w:rPr>
          <w:rFonts w:ascii="Garamond" w:hAnsi="Garamond" w:cs="Times New Roman"/>
          <w:sz w:val="23"/>
          <w:szCs w:val="23"/>
        </w:rPr>
        <w:t xml:space="preserve">La norma sul </w:t>
      </w:r>
      <w:proofErr w:type="spellStart"/>
      <w:r w:rsidRPr="00DD17D1">
        <w:rPr>
          <w:rFonts w:ascii="Garamond" w:hAnsi="Garamond" w:cs="Times New Roman"/>
          <w:i/>
          <w:iCs/>
          <w:sz w:val="23"/>
          <w:szCs w:val="23"/>
        </w:rPr>
        <w:t>pantouflage</w:t>
      </w:r>
      <w:proofErr w:type="spellEnd"/>
      <w:r w:rsidRPr="00DD17D1">
        <w:rPr>
          <w:rFonts w:ascii="Garamond" w:hAnsi="Garamond" w:cs="Times New Roman"/>
          <w:sz w:val="23"/>
          <w:szCs w:val="23"/>
        </w:rPr>
        <w:t xml:space="preserve"> disciplina pertanto, come accennato inizialmente, una fattispecie qualificabile in termini di “</w:t>
      </w:r>
      <w:r w:rsidRPr="00DD17D1">
        <w:rPr>
          <w:rFonts w:ascii="Garamond" w:hAnsi="Garamond" w:cs="Times New Roman"/>
          <w:i/>
          <w:sz w:val="23"/>
          <w:szCs w:val="23"/>
        </w:rPr>
        <w:t>incompatibilità successiva</w:t>
      </w:r>
      <w:r w:rsidRPr="00DD17D1">
        <w:rPr>
          <w:rFonts w:ascii="Garamond" w:hAnsi="Garamond" w:cs="Times New Roman"/>
          <w:sz w:val="23"/>
          <w:szCs w:val="23"/>
        </w:rPr>
        <w:t xml:space="preserve">” alla cessazione dal servizio del dipendente pubblico, e quindi si configura quale integrazione dei casi di </w:t>
      </w:r>
      <w:proofErr w:type="spellStart"/>
      <w:r w:rsidRPr="00DD17D1">
        <w:rPr>
          <w:rFonts w:ascii="Garamond" w:hAnsi="Garamond" w:cs="Times New Roman"/>
          <w:sz w:val="23"/>
          <w:szCs w:val="23"/>
        </w:rPr>
        <w:t>inconferibilità</w:t>
      </w:r>
      <w:proofErr w:type="spellEnd"/>
      <w:r w:rsidRPr="00DD17D1">
        <w:rPr>
          <w:rFonts w:ascii="Garamond" w:hAnsi="Garamond" w:cs="Times New Roman"/>
          <w:sz w:val="23"/>
          <w:szCs w:val="23"/>
        </w:rPr>
        <w:t xml:space="preserve"> e incompatibilità contemplate dal d.lgs. n. 39 del 2013, come si evince dalle disposizioni stesse in materia contenute all’art. 21 del citato decreto.</w:t>
      </w:r>
    </w:p>
    <w:p w14:paraId="50E80969" w14:textId="2C765282" w:rsidR="007A57AE" w:rsidRPr="00F7499B"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D17D1">
        <w:rPr>
          <w:rFonts w:ascii="Garamond" w:hAnsi="Garamond" w:cs="Times New Roman"/>
          <w:sz w:val="23"/>
          <w:szCs w:val="23"/>
        </w:rPr>
        <w:t>L’art. 53 del D.lgs. 165/2001, comma 16 ter, in caso di violazione del divieto ivi sancito, prevede le specifiche sanzioni della nullità del contratto e del divieto per i soggetti privati che l’hanno concluso o conferito, di contrattare con le pubbliche amministrazioni per i successivi tre anni, con contestuale obbligo di restituzione dei compensi eventualmente percepiti ed accertati ad essi riferiti</w:t>
      </w:r>
      <w:r w:rsidR="00B220E2" w:rsidRPr="00DD17D1">
        <w:rPr>
          <w:rFonts w:ascii="Garamond" w:hAnsi="Garamond" w:cs="Times New Roman"/>
          <w:sz w:val="23"/>
          <w:szCs w:val="23"/>
        </w:rPr>
        <w:t>.</w:t>
      </w:r>
    </w:p>
    <w:p w14:paraId="0927E513" w14:textId="77777777" w:rsidR="00DE26D4" w:rsidRDefault="001C45C0" w:rsidP="001C45C0">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CD01A0">
        <w:rPr>
          <w:rFonts w:ascii="Garamond" w:hAnsi="Garamond" w:cs="Times New Roman"/>
          <w:iCs/>
          <w:sz w:val="23"/>
          <w:szCs w:val="23"/>
        </w:rPr>
        <w:t xml:space="preserve">Talune criticità sono state riscontrate con riferimento al soggetto competente all’accertamento della violazione e all’applicazione delle sanzioni previste dalla disciplina, attesa l’assenza di un’espressa previsione in merito. In merito si ricorda che l’ANAC svolge un’attività consultiva ai sensi dell’art. 1, co. 2, </w:t>
      </w:r>
      <w:proofErr w:type="spellStart"/>
      <w:r w:rsidRPr="00CD01A0">
        <w:rPr>
          <w:rFonts w:ascii="Garamond" w:hAnsi="Garamond" w:cs="Times New Roman"/>
          <w:iCs/>
          <w:sz w:val="23"/>
          <w:szCs w:val="23"/>
        </w:rPr>
        <w:t>lett</w:t>
      </w:r>
      <w:proofErr w:type="spellEnd"/>
      <w:r w:rsidRPr="00CD01A0">
        <w:rPr>
          <w:rFonts w:ascii="Garamond" w:hAnsi="Garamond" w:cs="Times New Roman"/>
          <w:iCs/>
          <w:sz w:val="23"/>
          <w:szCs w:val="23"/>
        </w:rPr>
        <w:t xml:space="preserve">. e), della l. n. 190/2012 (cfr. Regolamento ANAC del 7 dicembre 2018). Quanto all’attività di vigilanza in materia di </w:t>
      </w:r>
      <w:proofErr w:type="spellStart"/>
      <w:r w:rsidRPr="00CD01A0">
        <w:rPr>
          <w:rFonts w:ascii="Garamond" w:hAnsi="Garamond" w:cs="Times New Roman"/>
          <w:i/>
          <w:iCs/>
          <w:sz w:val="23"/>
          <w:szCs w:val="23"/>
        </w:rPr>
        <w:t>pantouflage</w:t>
      </w:r>
      <w:proofErr w:type="spellEnd"/>
      <w:r w:rsidRPr="00CD01A0">
        <w:rPr>
          <w:rFonts w:ascii="Garamond" w:hAnsi="Garamond" w:cs="Times New Roman"/>
          <w:iCs/>
          <w:sz w:val="23"/>
          <w:szCs w:val="23"/>
        </w:rPr>
        <w:t xml:space="preserve">, l’Autorità verifica l’inserimento nei PTPCT o nella sezione anticorruzione e trasparenza del PIAO delle pubbliche amministrazioni di misure adeguate volte a prevenire tale fenomeno. In merito all’attribuzione ad ANAC dei poteri di vigilanza nei confronti dei soggetti privati che violino il divieto di </w:t>
      </w:r>
      <w:proofErr w:type="spellStart"/>
      <w:r w:rsidRPr="00CD01A0">
        <w:rPr>
          <w:rFonts w:ascii="Garamond" w:hAnsi="Garamond" w:cs="Times New Roman"/>
          <w:i/>
          <w:iCs/>
          <w:sz w:val="23"/>
          <w:szCs w:val="23"/>
        </w:rPr>
        <w:t>pantouflage</w:t>
      </w:r>
      <w:proofErr w:type="spellEnd"/>
      <w:r w:rsidRPr="00CD01A0">
        <w:rPr>
          <w:rFonts w:ascii="Garamond" w:hAnsi="Garamond" w:cs="Times New Roman"/>
          <w:iCs/>
          <w:sz w:val="23"/>
          <w:szCs w:val="23"/>
        </w:rPr>
        <w:t xml:space="preserve">, giova ricordare che il Consiglio di Stato (Sezione V, nella pronuncia del 29 ottobre 2019, n. 7411) ha stabilito la competenza dell'Autorità Nazionale Anticorruzione in merito alla vigilanza e all’accertamento delle fattispecie di “incompatibilità successiva” di cui all’art. 53, co. 16-ter, del d.lgs. n. 165/2001, in base al combinato disposto degli artt. 16 e 21 del d.lgs. n. 39/2013, e la conseguente competenza sotto il profilo sanzionatorio. ANAC, ad avviso del Consiglio di Stato, è il soggetto che ha il compito di assicurare, in sede di accertamento della </w:t>
      </w:r>
      <w:r w:rsidRPr="00CD01A0">
        <w:rPr>
          <w:rFonts w:ascii="Garamond" w:hAnsi="Garamond" w:cs="Times New Roman"/>
          <w:iCs/>
          <w:sz w:val="23"/>
          <w:szCs w:val="23"/>
        </w:rPr>
        <w:lastRenderedPageBreak/>
        <w:t>nullità dei contratti sottoscritti dalle parti e di adozione delle conseguenti misure, il rispetto delle misure di prevenzione della corruzione e trasparenza.</w:t>
      </w:r>
      <w:r w:rsidR="008E00F0" w:rsidRPr="00CD01A0">
        <w:rPr>
          <w:rFonts w:ascii="Garamond" w:hAnsi="Garamond" w:cs="Times New Roman"/>
          <w:iCs/>
          <w:sz w:val="23"/>
          <w:szCs w:val="23"/>
        </w:rPr>
        <w:t xml:space="preserve"> </w:t>
      </w:r>
      <w:r w:rsidRPr="00CD01A0">
        <w:rPr>
          <w:rFonts w:ascii="Garamond" w:hAnsi="Garamond" w:cs="Times New Roman"/>
          <w:iCs/>
          <w:sz w:val="23"/>
          <w:szCs w:val="23"/>
        </w:rPr>
        <w:t xml:space="preserve">Anche la Corte di Cassazione investita del ricorso avverso la sopra citata sentenza, con la </w:t>
      </w:r>
      <w:r w:rsidR="008E00F0" w:rsidRPr="00CD01A0">
        <w:rPr>
          <w:rFonts w:ascii="Garamond" w:hAnsi="Garamond" w:cs="Times New Roman"/>
          <w:iCs/>
          <w:sz w:val="23"/>
          <w:szCs w:val="23"/>
        </w:rPr>
        <w:t>decisione del 25 novembre 2021</w:t>
      </w:r>
      <w:r w:rsidRPr="00CD01A0">
        <w:rPr>
          <w:rFonts w:ascii="Garamond" w:hAnsi="Garamond" w:cs="Times New Roman"/>
          <w:iCs/>
          <w:sz w:val="23"/>
          <w:szCs w:val="23"/>
        </w:rPr>
        <w:t xml:space="preserve"> </w:t>
      </w:r>
      <w:r w:rsidR="008E00F0" w:rsidRPr="00CD01A0">
        <w:rPr>
          <w:rFonts w:ascii="Garamond" w:hAnsi="Garamond" w:cs="Times New Roman"/>
          <w:iCs/>
          <w:sz w:val="23"/>
          <w:szCs w:val="23"/>
        </w:rPr>
        <w:t xml:space="preserve">(Corte di Cassazione Civile Sez. U, ordinanza n. 36593 del 25 novembre 2021) </w:t>
      </w:r>
      <w:r w:rsidRPr="00CD01A0">
        <w:rPr>
          <w:rFonts w:ascii="Garamond" w:hAnsi="Garamond" w:cs="Times New Roman"/>
          <w:iCs/>
          <w:sz w:val="23"/>
          <w:szCs w:val="23"/>
        </w:rPr>
        <w:t>ha confermato</w:t>
      </w:r>
      <w:r w:rsidR="008E00F0" w:rsidRPr="00CD01A0">
        <w:rPr>
          <w:rFonts w:ascii="Garamond" w:hAnsi="Garamond" w:cs="Times New Roman"/>
          <w:iCs/>
          <w:sz w:val="23"/>
          <w:szCs w:val="23"/>
        </w:rPr>
        <w:t xml:space="preserve"> </w:t>
      </w:r>
      <w:r w:rsidRPr="00CD01A0">
        <w:rPr>
          <w:rFonts w:ascii="Garamond" w:hAnsi="Garamond" w:cs="Times New Roman"/>
          <w:iCs/>
          <w:sz w:val="23"/>
          <w:szCs w:val="23"/>
        </w:rPr>
        <w:t xml:space="preserve">la sussistenza in capo ad ANAC dei poteri di vigilanza e sanzionatori in materia di </w:t>
      </w:r>
      <w:proofErr w:type="spellStart"/>
      <w:r w:rsidRPr="00CD01A0">
        <w:rPr>
          <w:rFonts w:ascii="Garamond" w:hAnsi="Garamond" w:cs="Times New Roman"/>
          <w:i/>
          <w:iCs/>
          <w:sz w:val="23"/>
          <w:szCs w:val="23"/>
        </w:rPr>
        <w:t>pantouflage</w:t>
      </w:r>
      <w:proofErr w:type="spellEnd"/>
      <w:r w:rsidRPr="00CD01A0">
        <w:rPr>
          <w:rFonts w:ascii="Garamond" w:hAnsi="Garamond" w:cs="Times New Roman"/>
          <w:iCs/>
          <w:sz w:val="23"/>
          <w:szCs w:val="23"/>
        </w:rPr>
        <w:t>.</w:t>
      </w:r>
    </w:p>
    <w:p w14:paraId="70BDD07E" w14:textId="2D1258B8" w:rsidR="007A57AE" w:rsidRPr="00B91116"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B91116">
        <w:rPr>
          <w:rFonts w:ascii="Garamond" w:hAnsi="Garamond" w:cs="Times New Roman"/>
          <w:sz w:val="23"/>
          <w:szCs w:val="23"/>
        </w:rPr>
        <w:t xml:space="preserve">A corollario della disposizione appena richiamata, in sede di gara o affidamento incarichi è fatto carico alla Pubblica Amministrazione di richiedere al soggetto con cui entra in contatto una dichiarazione, c.d. </w:t>
      </w:r>
      <w:r w:rsidRPr="00B91116">
        <w:rPr>
          <w:rFonts w:ascii="Garamond" w:hAnsi="Garamond" w:cs="Times New Roman"/>
          <w:i/>
          <w:iCs/>
          <w:sz w:val="23"/>
          <w:szCs w:val="23"/>
        </w:rPr>
        <w:t xml:space="preserve">clausola di </w:t>
      </w:r>
      <w:proofErr w:type="spellStart"/>
      <w:r w:rsidRPr="00B91116">
        <w:rPr>
          <w:rFonts w:ascii="Garamond" w:hAnsi="Garamond" w:cs="Times New Roman"/>
          <w:i/>
          <w:iCs/>
          <w:sz w:val="23"/>
          <w:szCs w:val="23"/>
        </w:rPr>
        <w:t>pantouflage</w:t>
      </w:r>
      <w:proofErr w:type="spellEnd"/>
      <w:r w:rsidRPr="00B91116">
        <w:rPr>
          <w:rFonts w:ascii="Garamond" w:hAnsi="Garamond" w:cs="Times New Roman"/>
          <w:sz w:val="23"/>
          <w:szCs w:val="23"/>
        </w:rPr>
        <w:t xml:space="preserve">, per garantire l’applicazione dell’art. 53, comma 16-ter, del D. </w:t>
      </w:r>
      <w:proofErr w:type="spellStart"/>
      <w:r w:rsidRPr="00B91116">
        <w:rPr>
          <w:rFonts w:ascii="Garamond" w:hAnsi="Garamond" w:cs="Times New Roman"/>
          <w:sz w:val="23"/>
          <w:szCs w:val="23"/>
        </w:rPr>
        <w:t>Lgs</w:t>
      </w:r>
      <w:proofErr w:type="spellEnd"/>
      <w:r w:rsidRPr="00B91116">
        <w:rPr>
          <w:rFonts w:ascii="Garamond" w:hAnsi="Garamond" w:cs="Times New Roman"/>
          <w:sz w:val="23"/>
          <w:szCs w:val="23"/>
        </w:rPr>
        <w:t>. 165/2001. Attraverso tale dichiarazione, il destinatario del provvedimento deve affermare di non aver concluso contratti di lavoro subordinato o autonomo</w:t>
      </w:r>
      <w:r w:rsidR="0014242B" w:rsidRPr="00B91116">
        <w:rPr>
          <w:rFonts w:ascii="Garamond" w:hAnsi="Garamond" w:cs="Times New Roman"/>
          <w:sz w:val="23"/>
          <w:szCs w:val="23"/>
        </w:rPr>
        <w:t>,</w:t>
      </w:r>
      <w:r w:rsidR="008B5D2D" w:rsidRPr="00B91116">
        <w:rPr>
          <w:rFonts w:ascii="Garamond" w:hAnsi="Garamond" w:cs="Times New Roman"/>
          <w:sz w:val="23"/>
          <w:szCs w:val="23"/>
        </w:rPr>
        <w:t xml:space="preserve"> anche a titolo gratuito,</w:t>
      </w:r>
      <w:r w:rsidR="0014242B" w:rsidRPr="00B91116">
        <w:rPr>
          <w:rFonts w:ascii="Garamond" w:hAnsi="Garamond" w:cs="Times New Roman"/>
          <w:sz w:val="23"/>
          <w:szCs w:val="23"/>
        </w:rPr>
        <w:t xml:space="preserve"> e </w:t>
      </w:r>
      <w:r w:rsidRPr="00B91116">
        <w:rPr>
          <w:rFonts w:ascii="Garamond" w:hAnsi="Garamond" w:cs="Times New Roman"/>
          <w:sz w:val="23"/>
          <w:szCs w:val="23"/>
        </w:rPr>
        <w:t>di non aver attrib</w:t>
      </w:r>
      <w:r w:rsidR="0020739C" w:rsidRPr="00B91116">
        <w:rPr>
          <w:rFonts w:ascii="Garamond" w:hAnsi="Garamond" w:cs="Times New Roman"/>
          <w:sz w:val="23"/>
          <w:szCs w:val="23"/>
        </w:rPr>
        <w:t>uito incarichi ad ex dipendenti</w:t>
      </w:r>
      <w:r w:rsidRPr="00B91116">
        <w:rPr>
          <w:rFonts w:ascii="Garamond" w:hAnsi="Garamond" w:cs="Times New Roman"/>
          <w:sz w:val="23"/>
          <w:szCs w:val="23"/>
        </w:rPr>
        <w:t xml:space="preserve"> che hanno esercitato poteri autoritativi o negoziali per conto delle pubbliche amministrazioni, nel triennio successivo alla cessazione del rapporto.</w:t>
      </w:r>
    </w:p>
    <w:p w14:paraId="3CF45953" w14:textId="4D9B01BB" w:rsidR="007A57AE" w:rsidRPr="008B5D2D" w:rsidRDefault="007A57AE" w:rsidP="00582EFE">
      <w:pPr>
        <w:tabs>
          <w:tab w:val="left" w:pos="9354"/>
        </w:tabs>
        <w:autoSpaceDE w:val="0"/>
        <w:autoSpaceDN w:val="0"/>
        <w:adjustRightInd w:val="0"/>
        <w:spacing w:after="0" w:line="276" w:lineRule="auto"/>
        <w:ind w:right="-1"/>
        <w:jc w:val="both"/>
        <w:rPr>
          <w:rFonts w:ascii="Garamond" w:hAnsi="Garamond" w:cs="Times New Roman"/>
          <w:color w:val="FF0000"/>
          <w:sz w:val="23"/>
          <w:szCs w:val="23"/>
        </w:rPr>
      </w:pPr>
      <w:r w:rsidRPr="00B91116">
        <w:rPr>
          <w:rFonts w:ascii="Garamond" w:hAnsi="Garamond" w:cs="Times New Roman"/>
          <w:sz w:val="23"/>
          <w:szCs w:val="23"/>
        </w:rPr>
        <w:t>Il destinatario del provvedimento è tenuto a dichiarare, inoltre, di essere consapevole che ai sensi del predetto art. 53, comma 16-ter, i contratti conclusi e gli incarichi conferiti in violazione di tali prescrizioni sono nulli e che è fatto divieto ai soggetti privati che li hanno conclusi o conferiti di contrattare con le pubbliche amministrazioni per i successivi tre anni, con l’obbligo di restituzione dei compensi eventualmente percepiti e accertati ad essi riferiti.</w:t>
      </w:r>
    </w:p>
    <w:p w14:paraId="6C12E292" w14:textId="4695D9F2" w:rsidR="00715F3D" w:rsidRPr="005D10B9" w:rsidRDefault="00715F3D" w:rsidP="00582EFE">
      <w:pPr>
        <w:tabs>
          <w:tab w:val="left" w:pos="9354"/>
        </w:tabs>
        <w:autoSpaceDE w:val="0"/>
        <w:autoSpaceDN w:val="0"/>
        <w:adjustRightInd w:val="0"/>
        <w:spacing w:after="0" w:line="276" w:lineRule="auto"/>
        <w:ind w:right="-1"/>
        <w:jc w:val="both"/>
        <w:rPr>
          <w:rFonts w:ascii="Garamond" w:hAnsi="Garamond" w:cs="Times New Roman"/>
          <w:sz w:val="23"/>
          <w:szCs w:val="23"/>
          <w:highlight w:val="yellow"/>
        </w:rPr>
      </w:pPr>
      <w:r w:rsidRPr="005D10B9">
        <w:rPr>
          <w:rFonts w:ascii="Garamond" w:hAnsi="Garamond" w:cs="Times New Roman"/>
          <w:sz w:val="23"/>
          <w:szCs w:val="23"/>
        </w:rPr>
        <w:t>In relazione alla descritta Misura (</w:t>
      </w:r>
      <w:proofErr w:type="spellStart"/>
      <w:r w:rsidRPr="005D10B9">
        <w:rPr>
          <w:rFonts w:ascii="Garamond" w:hAnsi="Garamond" w:cs="Times New Roman"/>
          <w:sz w:val="23"/>
          <w:szCs w:val="23"/>
        </w:rPr>
        <w:t>Pantouflage</w:t>
      </w:r>
      <w:proofErr w:type="spellEnd"/>
      <w:r w:rsidRPr="005D10B9">
        <w:rPr>
          <w:rFonts w:ascii="Garamond" w:hAnsi="Garamond" w:cs="Times New Roman"/>
          <w:sz w:val="23"/>
          <w:szCs w:val="23"/>
        </w:rPr>
        <w:t>), con DGR n. 811 del 13.12.2021 recante “</w:t>
      </w:r>
      <w:r w:rsidRPr="005D10B9">
        <w:rPr>
          <w:rFonts w:ascii="Garamond" w:hAnsi="Garamond" w:cs="Times New Roman"/>
          <w:i/>
          <w:iCs/>
          <w:sz w:val="23"/>
          <w:szCs w:val="23"/>
        </w:rPr>
        <w:t xml:space="preserve">Adozione Direttiva del RPCT: “Svolgimento di attività successiva alla Cessazione del rapporto di Lavoro (art. 53, co.16-ter, </w:t>
      </w:r>
      <w:proofErr w:type="spellStart"/>
      <w:proofErr w:type="gramStart"/>
      <w:r w:rsidRPr="005D10B9">
        <w:rPr>
          <w:rFonts w:ascii="Garamond" w:hAnsi="Garamond" w:cs="Times New Roman"/>
          <w:i/>
          <w:iCs/>
          <w:sz w:val="23"/>
          <w:szCs w:val="23"/>
        </w:rPr>
        <w:t>D.Lgs</w:t>
      </w:r>
      <w:proofErr w:type="gramEnd"/>
      <w:r w:rsidRPr="005D10B9">
        <w:rPr>
          <w:rFonts w:ascii="Garamond" w:hAnsi="Garamond" w:cs="Times New Roman"/>
          <w:i/>
          <w:iCs/>
          <w:sz w:val="23"/>
          <w:szCs w:val="23"/>
        </w:rPr>
        <w:t>.</w:t>
      </w:r>
      <w:proofErr w:type="spellEnd"/>
      <w:r w:rsidRPr="005D10B9">
        <w:rPr>
          <w:rFonts w:ascii="Garamond" w:hAnsi="Garamond" w:cs="Times New Roman"/>
          <w:i/>
          <w:iCs/>
          <w:sz w:val="23"/>
          <w:szCs w:val="23"/>
        </w:rPr>
        <w:t xml:space="preserve"> 165/2001). Misura MG/8 allegato B del P.T. P.C.T. (</w:t>
      </w:r>
      <w:proofErr w:type="spellStart"/>
      <w:r w:rsidRPr="005D10B9">
        <w:rPr>
          <w:rFonts w:ascii="Garamond" w:hAnsi="Garamond" w:cs="Times New Roman"/>
          <w:i/>
          <w:iCs/>
          <w:sz w:val="23"/>
          <w:szCs w:val="23"/>
        </w:rPr>
        <w:t>Pantouflage</w:t>
      </w:r>
      <w:proofErr w:type="spellEnd"/>
      <w:r w:rsidRPr="005D10B9">
        <w:rPr>
          <w:rFonts w:ascii="Garamond" w:hAnsi="Garamond" w:cs="Times New Roman"/>
          <w:i/>
          <w:iCs/>
          <w:sz w:val="23"/>
          <w:szCs w:val="23"/>
        </w:rPr>
        <w:t>)</w:t>
      </w:r>
      <w:r w:rsidRPr="005D10B9">
        <w:rPr>
          <w:rFonts w:ascii="Garamond" w:hAnsi="Garamond" w:cs="Times New Roman"/>
          <w:sz w:val="23"/>
          <w:szCs w:val="23"/>
        </w:rPr>
        <w:t xml:space="preserve">”, sono state fornite indicazioni operative sull'applicazione della previsione normativa di cui all'art. 53, comma 16 ter </w:t>
      </w:r>
      <w:proofErr w:type="spellStart"/>
      <w:proofErr w:type="gramStart"/>
      <w:r w:rsidRPr="005D10B9">
        <w:rPr>
          <w:rFonts w:ascii="Garamond" w:hAnsi="Garamond" w:cs="Times New Roman"/>
          <w:sz w:val="23"/>
          <w:szCs w:val="23"/>
        </w:rPr>
        <w:t>D.Lgs</w:t>
      </w:r>
      <w:proofErr w:type="gramEnd"/>
      <w:r w:rsidRPr="005D10B9">
        <w:rPr>
          <w:rFonts w:ascii="Garamond" w:hAnsi="Garamond" w:cs="Times New Roman"/>
          <w:sz w:val="23"/>
          <w:szCs w:val="23"/>
        </w:rPr>
        <w:t>.</w:t>
      </w:r>
      <w:proofErr w:type="spellEnd"/>
      <w:r w:rsidRPr="005D10B9">
        <w:rPr>
          <w:rFonts w:ascii="Garamond" w:hAnsi="Garamond" w:cs="Times New Roman"/>
          <w:sz w:val="23"/>
          <w:szCs w:val="23"/>
        </w:rPr>
        <w:t xml:space="preserve"> 165/2001, relativamente alle cd. disposizioni post-</w:t>
      </w:r>
      <w:proofErr w:type="spellStart"/>
      <w:r w:rsidRPr="005D10B9">
        <w:rPr>
          <w:rFonts w:ascii="Garamond" w:hAnsi="Garamond" w:cs="Times New Roman"/>
          <w:sz w:val="23"/>
          <w:szCs w:val="23"/>
        </w:rPr>
        <w:t>employment</w:t>
      </w:r>
      <w:proofErr w:type="spellEnd"/>
      <w:r w:rsidRPr="005D10B9">
        <w:rPr>
          <w:rFonts w:ascii="Garamond" w:hAnsi="Garamond" w:cs="Times New Roman"/>
          <w:sz w:val="23"/>
          <w:szCs w:val="23"/>
        </w:rPr>
        <w:t xml:space="preserve"> o incompatibilità successiva alla cessazione del rapporto di lavoro, finalizzate a prevenire i conflitti di interesse e, quindi, la compromissione dell’imparzialità delle amministrazioni pubbliche.</w:t>
      </w:r>
    </w:p>
    <w:p w14:paraId="57E6ED7B" w14:textId="51F672AF" w:rsidR="00B76750" w:rsidRDefault="00033905" w:rsidP="00033905">
      <w:pPr>
        <w:tabs>
          <w:tab w:val="left" w:pos="9354"/>
        </w:tabs>
        <w:autoSpaceDE w:val="0"/>
        <w:autoSpaceDN w:val="0"/>
        <w:adjustRightInd w:val="0"/>
        <w:spacing w:after="120" w:line="276" w:lineRule="auto"/>
        <w:jc w:val="both"/>
        <w:rPr>
          <w:rFonts w:ascii="Garamond" w:hAnsi="Garamond" w:cs="Times New Roman"/>
          <w:sz w:val="23"/>
          <w:szCs w:val="23"/>
        </w:rPr>
      </w:pPr>
      <w:r w:rsidRPr="00033905">
        <w:rPr>
          <w:rFonts w:ascii="Garamond" w:hAnsi="Garamond" w:cs="Times New Roman"/>
          <w:sz w:val="23"/>
          <w:szCs w:val="23"/>
          <w:highlight w:val="yellow"/>
        </w:rPr>
        <w:t xml:space="preserve">Nell’Allegato B al </w:t>
      </w:r>
      <w:r w:rsidR="004E6A82" w:rsidRPr="00033905">
        <w:rPr>
          <w:rFonts w:ascii="Garamond" w:hAnsi="Garamond" w:cs="Times New Roman"/>
          <w:sz w:val="23"/>
          <w:szCs w:val="23"/>
          <w:highlight w:val="yellow"/>
        </w:rPr>
        <w:t>presente Piano</w:t>
      </w:r>
      <w:r w:rsidRPr="00033905">
        <w:rPr>
          <w:rFonts w:ascii="Garamond" w:hAnsi="Garamond" w:cs="Times New Roman"/>
          <w:sz w:val="23"/>
          <w:szCs w:val="23"/>
          <w:highlight w:val="yellow"/>
        </w:rPr>
        <w:t xml:space="preserve"> -  evidenziate in giallo al fine della più agevole individuazione in fase di consultazione -</w:t>
      </w:r>
      <w:r w:rsidR="003E573C" w:rsidRPr="00033905">
        <w:rPr>
          <w:rFonts w:ascii="Garamond" w:hAnsi="Garamond" w:cs="Times New Roman"/>
          <w:sz w:val="23"/>
          <w:szCs w:val="23"/>
          <w:highlight w:val="yellow"/>
        </w:rPr>
        <w:t xml:space="preserve"> </w:t>
      </w:r>
      <w:r w:rsidR="00715F3D" w:rsidRPr="00033905">
        <w:rPr>
          <w:rFonts w:ascii="Garamond" w:hAnsi="Garamond" w:cs="Times New Roman"/>
          <w:sz w:val="23"/>
          <w:szCs w:val="23"/>
          <w:highlight w:val="yellow"/>
        </w:rPr>
        <w:t xml:space="preserve">le misure previste sono state adattate ricomprendendovi, altresì, </w:t>
      </w:r>
      <w:r w:rsidR="003E573C" w:rsidRPr="00033905">
        <w:rPr>
          <w:rFonts w:ascii="Garamond" w:hAnsi="Garamond" w:cs="Times New Roman"/>
          <w:sz w:val="23"/>
          <w:szCs w:val="23"/>
          <w:highlight w:val="yellow"/>
        </w:rPr>
        <w:t>le misure già previste nella direttiva del RPC</w:t>
      </w:r>
      <w:r w:rsidR="00AD0984" w:rsidRPr="00033905">
        <w:rPr>
          <w:rFonts w:ascii="Garamond" w:hAnsi="Garamond" w:cs="Times New Roman"/>
          <w:sz w:val="23"/>
          <w:szCs w:val="23"/>
          <w:highlight w:val="yellow"/>
        </w:rPr>
        <w:t>T</w:t>
      </w:r>
      <w:r w:rsidR="003E573C" w:rsidRPr="00033905">
        <w:rPr>
          <w:rFonts w:ascii="Garamond" w:hAnsi="Garamond" w:cs="Times New Roman"/>
          <w:sz w:val="23"/>
          <w:szCs w:val="23"/>
          <w:highlight w:val="yellow"/>
        </w:rPr>
        <w:t xml:space="preserve"> adottata con </w:t>
      </w:r>
      <w:r w:rsidR="00405FED" w:rsidRPr="00033905">
        <w:rPr>
          <w:rFonts w:ascii="Garamond" w:hAnsi="Garamond" w:cs="Times New Roman"/>
          <w:sz w:val="23"/>
          <w:szCs w:val="23"/>
          <w:highlight w:val="yellow"/>
        </w:rPr>
        <w:t xml:space="preserve">la suddetta </w:t>
      </w:r>
      <w:r w:rsidR="003E573C" w:rsidRPr="00033905">
        <w:rPr>
          <w:rFonts w:ascii="Garamond" w:hAnsi="Garamond" w:cs="Times New Roman"/>
          <w:sz w:val="23"/>
          <w:szCs w:val="23"/>
          <w:highlight w:val="yellow"/>
        </w:rPr>
        <w:t>DGR 811/2021 e ribadite nel PNA 2022</w:t>
      </w:r>
      <w:r w:rsidR="00C377D6">
        <w:rPr>
          <w:rFonts w:ascii="Garamond" w:hAnsi="Garamond" w:cs="Times New Roman"/>
          <w:sz w:val="23"/>
          <w:szCs w:val="23"/>
        </w:rPr>
        <w:t>.</w:t>
      </w:r>
    </w:p>
    <w:p w14:paraId="769A9756" w14:textId="77777777" w:rsidR="00C377D6" w:rsidRPr="00766A20" w:rsidRDefault="00C377D6" w:rsidP="00C377D6">
      <w:pPr>
        <w:tabs>
          <w:tab w:val="left" w:pos="9354"/>
        </w:tabs>
        <w:autoSpaceDE w:val="0"/>
        <w:autoSpaceDN w:val="0"/>
        <w:adjustRightInd w:val="0"/>
        <w:spacing w:after="0" w:line="276" w:lineRule="auto"/>
        <w:jc w:val="both"/>
        <w:rPr>
          <w:rFonts w:ascii="Garamond" w:hAnsi="Garamond" w:cs="Times New Roman"/>
          <w:strike/>
          <w:sz w:val="23"/>
          <w:szCs w:val="23"/>
          <w:highlight w:val="yellow"/>
        </w:rPr>
      </w:pPr>
    </w:p>
    <w:p w14:paraId="4F30D164" w14:textId="3337D131" w:rsidR="007A57AE" w:rsidRPr="009263BF" w:rsidRDefault="007A57AE" w:rsidP="00C377D6">
      <w:pPr>
        <w:spacing w:after="0" w:line="276" w:lineRule="auto"/>
        <w:ind w:right="-1"/>
        <w:jc w:val="both"/>
        <w:rPr>
          <w:rFonts w:ascii="Garamond" w:hAnsi="Garamond" w:cs="Times New Roman"/>
          <w:b/>
          <w:i/>
          <w:sz w:val="23"/>
          <w:szCs w:val="23"/>
        </w:rPr>
      </w:pPr>
      <w:bookmarkStart w:id="55" w:name="_Toc43329227"/>
      <w:bookmarkStart w:id="56" w:name="_Hlk101637470"/>
      <w:r w:rsidRPr="009263BF">
        <w:rPr>
          <w:rFonts w:ascii="Garamond" w:hAnsi="Garamond" w:cs="Times New Roman"/>
          <w:b/>
          <w:i/>
          <w:sz w:val="23"/>
          <w:szCs w:val="23"/>
        </w:rPr>
        <w:t>Formazione di commissioni, assegnazioni agli uffici, conferimento di incarichi dirigenziali in caso di condanna penale per delitti contro la pubblica amministrazione</w:t>
      </w:r>
      <w:bookmarkEnd w:id="55"/>
      <w:r w:rsidR="0093514D">
        <w:rPr>
          <w:rFonts w:ascii="Garamond" w:hAnsi="Garamond" w:cs="Times New Roman"/>
          <w:b/>
          <w:i/>
          <w:sz w:val="23"/>
          <w:szCs w:val="23"/>
        </w:rPr>
        <w:t xml:space="preserve"> (</w:t>
      </w:r>
      <w:r w:rsidR="00730F56">
        <w:rPr>
          <w:rFonts w:ascii="Garamond" w:hAnsi="Garamond" w:cs="Times New Roman"/>
          <w:b/>
          <w:i/>
          <w:sz w:val="23"/>
          <w:szCs w:val="23"/>
        </w:rPr>
        <w:t xml:space="preserve">Allegato B - </w:t>
      </w:r>
      <w:r w:rsidR="0093514D">
        <w:rPr>
          <w:rFonts w:ascii="Garamond" w:hAnsi="Garamond" w:cs="Times New Roman"/>
          <w:b/>
          <w:i/>
          <w:sz w:val="23"/>
          <w:szCs w:val="23"/>
        </w:rPr>
        <w:t>MG/9)</w:t>
      </w:r>
    </w:p>
    <w:bookmarkEnd w:id="56"/>
    <w:p w14:paraId="1AB78B20" w14:textId="77777777" w:rsidR="00730F56"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L’art. 35 bis del </w:t>
      </w:r>
      <w:proofErr w:type="spellStart"/>
      <w:proofErr w:type="gramStart"/>
      <w:r w:rsidRPr="00D86DC5">
        <w:rPr>
          <w:rFonts w:ascii="Garamond" w:hAnsi="Garamond" w:cs="Times New Roman"/>
          <w:sz w:val="23"/>
          <w:szCs w:val="23"/>
        </w:rPr>
        <w:t>D.Lgs</w:t>
      </w:r>
      <w:proofErr w:type="gramEnd"/>
      <w:r w:rsidRPr="00D86DC5">
        <w:rPr>
          <w:rFonts w:ascii="Garamond" w:hAnsi="Garamond" w:cs="Times New Roman"/>
          <w:sz w:val="23"/>
          <w:szCs w:val="23"/>
        </w:rPr>
        <w:t>.</w:t>
      </w:r>
      <w:proofErr w:type="spellEnd"/>
      <w:r w:rsidRPr="00D86DC5">
        <w:rPr>
          <w:rFonts w:ascii="Garamond" w:hAnsi="Garamond" w:cs="Times New Roman"/>
          <w:sz w:val="23"/>
          <w:szCs w:val="23"/>
        </w:rPr>
        <w:t xml:space="preserve"> n.165/2001, come chiarito dall’ANAC con Delibera n. 1201 del 18/12/2019</w:t>
      </w:r>
      <w:r w:rsidR="003041AC" w:rsidRPr="00D86DC5">
        <w:rPr>
          <w:rFonts w:ascii="Garamond" w:hAnsi="Garamond" w:cs="Times New Roman"/>
          <w:sz w:val="23"/>
          <w:szCs w:val="23"/>
        </w:rPr>
        <w:t>,</w:t>
      </w:r>
      <w:r w:rsidRPr="00D86DC5">
        <w:rPr>
          <w:rFonts w:ascii="Garamond" w:hAnsi="Garamond" w:cs="Times New Roman"/>
          <w:sz w:val="23"/>
          <w:szCs w:val="23"/>
        </w:rPr>
        <w:t xml:space="preserve"> </w:t>
      </w:r>
      <w:r w:rsidR="00730F56">
        <w:rPr>
          <w:rFonts w:ascii="Garamond" w:hAnsi="Garamond" w:cs="Times New Roman"/>
          <w:sz w:val="23"/>
          <w:szCs w:val="23"/>
        </w:rPr>
        <w:t>configura una specifica</w:t>
      </w:r>
      <w:r w:rsidRPr="00D86DC5">
        <w:rPr>
          <w:rFonts w:ascii="Garamond" w:hAnsi="Garamond" w:cs="Times New Roman"/>
          <w:sz w:val="23"/>
          <w:szCs w:val="23"/>
        </w:rPr>
        <w:t xml:space="preserve"> fattispecie di </w:t>
      </w:r>
      <w:proofErr w:type="spellStart"/>
      <w:r w:rsidRPr="00D86DC5">
        <w:rPr>
          <w:rFonts w:ascii="Garamond" w:hAnsi="Garamond" w:cs="Times New Roman"/>
          <w:sz w:val="23"/>
          <w:szCs w:val="23"/>
        </w:rPr>
        <w:t>inconferibilità</w:t>
      </w:r>
      <w:proofErr w:type="spellEnd"/>
      <w:r w:rsidRPr="00D86DC5">
        <w:rPr>
          <w:rFonts w:ascii="Garamond" w:hAnsi="Garamond" w:cs="Times New Roman"/>
          <w:sz w:val="23"/>
          <w:szCs w:val="23"/>
        </w:rPr>
        <w:t xml:space="preserve"> atta a prevenire il discredito, altrimenti derivante all’Amministrazione, dovuto all’affidamento di funzioni sensibili a dipendenti che</w:t>
      </w:r>
      <w:r w:rsidR="00730F56">
        <w:rPr>
          <w:rFonts w:ascii="Garamond" w:hAnsi="Garamond" w:cs="Times New Roman"/>
          <w:sz w:val="23"/>
          <w:szCs w:val="23"/>
        </w:rPr>
        <w:t xml:space="preserve"> si trovino nelle condizioni di seguito illustrate.</w:t>
      </w:r>
    </w:p>
    <w:p w14:paraId="3EF0BF23" w14:textId="2587A5FC" w:rsidR="007A57AE" w:rsidRPr="00D86DC5" w:rsidRDefault="00730F56"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Pr>
          <w:rFonts w:ascii="Garamond" w:hAnsi="Garamond" w:cs="Times New Roman"/>
          <w:sz w:val="23"/>
          <w:szCs w:val="23"/>
        </w:rPr>
        <w:t>La predetta</w:t>
      </w:r>
      <w:r w:rsidR="007A57AE" w:rsidRPr="00D86DC5">
        <w:rPr>
          <w:rFonts w:ascii="Garamond" w:hAnsi="Garamond" w:cs="Times New Roman"/>
          <w:sz w:val="23"/>
          <w:szCs w:val="23"/>
        </w:rPr>
        <w:t xml:space="preserve"> disposizione è stata introdotta dall’art. 1, comma 46, della Legge 6 novembre 2012, n. 190 allo scopo, come indicato nella rubrica dell’articolo, di </w:t>
      </w:r>
      <w:r w:rsidR="007A57AE" w:rsidRPr="00D86DC5">
        <w:rPr>
          <w:rFonts w:ascii="Garamond" w:hAnsi="Garamond" w:cs="Times New Roman"/>
          <w:i/>
          <w:iCs/>
          <w:sz w:val="23"/>
          <w:szCs w:val="23"/>
        </w:rPr>
        <w:t>“Prevenzione del fenomeno della corruzione nella formazione di commissioni e nelle assegnazioni agli uffici”</w:t>
      </w:r>
      <w:r w:rsidR="007A57AE" w:rsidRPr="00D86DC5">
        <w:rPr>
          <w:rFonts w:ascii="Garamond" w:hAnsi="Garamond" w:cs="Times New Roman"/>
          <w:sz w:val="23"/>
          <w:szCs w:val="23"/>
        </w:rPr>
        <w:t xml:space="preserve"> ed in particolare vieta a coloro che sono stati condannati, anche con sentenza non passata in giudicato per i reati previsti nel capo I del titolo II del libro secondo del codice penale di: </w:t>
      </w:r>
    </w:p>
    <w:p w14:paraId="34E165AD"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
          <w:iCs/>
          <w:sz w:val="23"/>
          <w:szCs w:val="23"/>
        </w:rPr>
      </w:pPr>
      <w:r w:rsidRPr="00D86DC5">
        <w:rPr>
          <w:rFonts w:ascii="Garamond" w:hAnsi="Garamond" w:cs="Times New Roman"/>
          <w:i/>
          <w:iCs/>
          <w:sz w:val="23"/>
          <w:szCs w:val="23"/>
        </w:rPr>
        <w:t xml:space="preserve">“a) fare parte, anche con compiti di segreteria, di commissioni per l’accesso o la selezione a pubblici impieghi; </w:t>
      </w:r>
    </w:p>
    <w:p w14:paraId="46066E05"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
          <w:iCs/>
          <w:sz w:val="23"/>
          <w:szCs w:val="23"/>
        </w:rPr>
      </w:pPr>
      <w:r w:rsidRPr="00D86DC5">
        <w:rPr>
          <w:rFonts w:ascii="Garamond" w:hAnsi="Garamond" w:cs="Times New Roman"/>
          <w:i/>
          <w:iCs/>
          <w:sz w:val="23"/>
          <w:szCs w:val="23"/>
        </w:rPr>
        <w:t xml:space="preserve">b) essere assegnati, anche con funzioni direttive, agli uffici preposti alla gestione delle risorse finanziarie, all’acquisizione di beni, servizi e forniture, nonché alla concessione o all’erogazione di sovvenzioni, contributi, sussidi, ausili finanziari o attribuzioni di vantaggi economici a soggetti pubblici e privati; </w:t>
      </w:r>
    </w:p>
    <w:p w14:paraId="7FB79D4A"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i/>
          <w:iCs/>
          <w:sz w:val="23"/>
          <w:szCs w:val="23"/>
        </w:rPr>
        <w:t>c) fare parte delle commissioni per la scelta del contraente per l’affidamento di lavori, forniture e servizi, per la concessione o l’erogazione di sovvenzioni, contributi, sussidi, ausili finanziari, nonché per l’attribuzione di vantaggi economici di qualunque genere”.</w:t>
      </w:r>
    </w:p>
    <w:p w14:paraId="421A1A2A" w14:textId="00B6AE2F"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D17D1">
        <w:rPr>
          <w:rFonts w:ascii="Garamond" w:hAnsi="Garamond" w:cs="Times New Roman"/>
          <w:sz w:val="23"/>
          <w:szCs w:val="23"/>
        </w:rPr>
        <w:t xml:space="preserve">L’Autorità ha, inoltre, puntualizzato che l’art. 35 bis </w:t>
      </w:r>
      <w:r w:rsidR="00B76750" w:rsidRPr="00DD17D1">
        <w:rPr>
          <w:rFonts w:ascii="Garamond" w:hAnsi="Garamond" w:cs="Times New Roman"/>
          <w:sz w:val="23"/>
          <w:szCs w:val="23"/>
        </w:rPr>
        <w:t xml:space="preserve">del D.lgs. 165/2001, </w:t>
      </w:r>
      <w:r w:rsidRPr="00DD17D1">
        <w:rPr>
          <w:rFonts w:ascii="Garamond" w:hAnsi="Garamond" w:cs="Times New Roman"/>
          <w:sz w:val="23"/>
          <w:szCs w:val="23"/>
        </w:rPr>
        <w:t>diversamente dalla disciplina di cui all’art. 3</w:t>
      </w:r>
      <w:r w:rsidR="00B76750" w:rsidRPr="00DD17D1">
        <w:rPr>
          <w:rFonts w:ascii="Garamond" w:hAnsi="Garamond" w:cs="Times New Roman"/>
          <w:sz w:val="23"/>
          <w:szCs w:val="23"/>
        </w:rPr>
        <w:t xml:space="preserve"> del</w:t>
      </w:r>
      <w:r w:rsidRPr="00DD17D1">
        <w:rPr>
          <w:rFonts w:ascii="Garamond" w:hAnsi="Garamond" w:cs="Times New Roman"/>
          <w:sz w:val="23"/>
          <w:szCs w:val="23"/>
        </w:rPr>
        <w:t xml:space="preserve"> </w:t>
      </w:r>
      <w:proofErr w:type="spellStart"/>
      <w:proofErr w:type="gramStart"/>
      <w:r w:rsidRPr="00DD17D1">
        <w:rPr>
          <w:rFonts w:ascii="Garamond" w:hAnsi="Garamond" w:cs="Times New Roman"/>
          <w:sz w:val="23"/>
          <w:szCs w:val="23"/>
        </w:rPr>
        <w:t>D.Lgs</w:t>
      </w:r>
      <w:proofErr w:type="gramEnd"/>
      <w:r w:rsidRPr="00DD17D1">
        <w:rPr>
          <w:rFonts w:ascii="Garamond" w:hAnsi="Garamond" w:cs="Times New Roman"/>
          <w:sz w:val="23"/>
          <w:szCs w:val="23"/>
        </w:rPr>
        <w:t>.</w:t>
      </w:r>
      <w:proofErr w:type="spellEnd"/>
      <w:r w:rsidRPr="00DD17D1">
        <w:rPr>
          <w:rFonts w:ascii="Garamond" w:hAnsi="Garamond" w:cs="Times New Roman"/>
          <w:sz w:val="23"/>
          <w:szCs w:val="23"/>
        </w:rPr>
        <w:t xml:space="preserve"> 39/2013, preclude il conferimento di alcuni uffici o lo svolgimento di specifiche attività </w:t>
      </w:r>
      <w:r w:rsidRPr="00D86DC5">
        <w:rPr>
          <w:rFonts w:ascii="Garamond" w:hAnsi="Garamond" w:cs="Times New Roman"/>
          <w:sz w:val="23"/>
          <w:szCs w:val="23"/>
        </w:rPr>
        <w:lastRenderedPageBreak/>
        <w:t>ed incarichi particolarmente esposti al rischio corruzione non solo a coloro che esercitano funzioni dirigenziali, ma anche a coloro cui vengano affidati meri compiti di segreteria ovvero funzioni direttive e non dirigenziali.</w:t>
      </w:r>
    </w:p>
    <w:p w14:paraId="7E6AA7E1" w14:textId="5DBA0C39" w:rsidR="007A57AE" w:rsidRPr="00D86DC5" w:rsidRDefault="00730F56"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Pr>
          <w:rFonts w:ascii="Garamond" w:hAnsi="Garamond" w:cs="Times New Roman"/>
          <w:sz w:val="23"/>
          <w:szCs w:val="23"/>
        </w:rPr>
        <w:t>C</w:t>
      </w:r>
      <w:r w:rsidR="007A57AE" w:rsidRPr="00D86DC5">
        <w:rPr>
          <w:rFonts w:ascii="Garamond" w:hAnsi="Garamond" w:cs="Times New Roman"/>
          <w:sz w:val="23"/>
          <w:szCs w:val="23"/>
        </w:rPr>
        <w:t xml:space="preserve">on la summenzionata Delibera l’ANAC ha specificato che il disposto di cui alla lettera a) dell’art. 35 bis è da intendersi riferito a tutti i componenti e al personale di supporto, a qualunque titolo, assegnati agli uffici straordinari istituiti per lo svolgimento delle procedure concorsuali finalizzate al reclutamento dall’esterno e, presumibilmente, per l’avanzamento in carriera. Resterebbero, dunque, esclusi dal divieto gli uffici ordinari che gestiscono il personale. Tuttavia, ragioni di carattere logico, inducono a ritenere che siano comunque compresi tutti gli incarichi che potrebbero condizionare lo svolgimento delle procedure concorsuali, indipendentemente dalla natura dell’ufficio. </w:t>
      </w:r>
    </w:p>
    <w:p w14:paraId="5CB74EC9"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Il secondo ambito (</w:t>
      </w:r>
      <w:proofErr w:type="spellStart"/>
      <w:r w:rsidRPr="00D86DC5">
        <w:rPr>
          <w:rFonts w:ascii="Garamond" w:hAnsi="Garamond" w:cs="Times New Roman"/>
          <w:sz w:val="23"/>
          <w:szCs w:val="23"/>
        </w:rPr>
        <w:t>lett</w:t>
      </w:r>
      <w:proofErr w:type="spellEnd"/>
      <w:r w:rsidRPr="00D86DC5">
        <w:rPr>
          <w:rFonts w:ascii="Garamond" w:hAnsi="Garamond" w:cs="Times New Roman"/>
          <w:sz w:val="23"/>
          <w:szCs w:val="23"/>
        </w:rPr>
        <w:t xml:space="preserve">. b) concerne l’assegnazione, anche con funzioni direttive, agli uffici preposti alla gestione delle risorse finanziarie, all’acquisizione di beni, servizi e forniture, nonché alla concessione o all’erogazione di sovvenzioni, contributi, sussidi, ausili finanziari o attribuzioni di vantaggi economici a soggetti pubblici e privati. </w:t>
      </w:r>
    </w:p>
    <w:p w14:paraId="7F564C28"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Infine, l’ultimo ambito relativo alla partecipazione a commissioni di gara per la scelta del contraente per l’affidamento di lavori, forniture e servizi, o ad altre commissioni ad hoc per la concessione o l’erogazione di sovvenzioni, contributi, sussidi, ausili finanziari, nonché per l’attribuzione di vantaggi economici di qualunque genere, completa i divieti previsti alla lettera b), così da ricomprendere nella sfera di applicazione della norma sia gli uffici competenti in via ordinaria che gli uffici straordinari, temporanei o costituiti ad hoc. </w:t>
      </w:r>
    </w:p>
    <w:p w14:paraId="2CB4A440" w14:textId="3445C1FB" w:rsidR="007A57AE"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Peraltro, la dottrina ritiene che l’esatta portata dei singoli ambiti debba interpretarsi anche alla luce di quelle attività in cui è più elevato il rischio di corruzione, attività individuate dai singoli piani di prevenzione della corruzione.</w:t>
      </w:r>
    </w:p>
    <w:p w14:paraId="732F8DBA" w14:textId="77777777" w:rsidR="008C5D06" w:rsidRDefault="008C5D06" w:rsidP="00582EFE">
      <w:pPr>
        <w:tabs>
          <w:tab w:val="left" w:pos="9354"/>
        </w:tabs>
        <w:autoSpaceDE w:val="0"/>
        <w:autoSpaceDN w:val="0"/>
        <w:adjustRightInd w:val="0"/>
        <w:spacing w:after="0" w:line="276" w:lineRule="auto"/>
        <w:ind w:right="-1"/>
        <w:jc w:val="both"/>
        <w:rPr>
          <w:rFonts w:ascii="Garamond" w:hAnsi="Garamond" w:cs="Times New Roman"/>
          <w:sz w:val="23"/>
          <w:szCs w:val="23"/>
        </w:rPr>
      </w:pPr>
    </w:p>
    <w:p w14:paraId="487591B0" w14:textId="77777777" w:rsidR="008C5D06" w:rsidRPr="009263BF" w:rsidRDefault="008C5D06" w:rsidP="008C5D06">
      <w:pPr>
        <w:spacing w:after="0" w:line="276" w:lineRule="auto"/>
        <w:ind w:right="-1"/>
        <w:jc w:val="both"/>
        <w:rPr>
          <w:rFonts w:ascii="Garamond" w:hAnsi="Garamond" w:cs="Times New Roman"/>
          <w:b/>
          <w:i/>
          <w:sz w:val="23"/>
          <w:szCs w:val="23"/>
        </w:rPr>
      </w:pPr>
      <w:bookmarkStart w:id="57" w:name="_Toc43329231"/>
      <w:bookmarkStart w:id="58" w:name="_Hlk101629957"/>
      <w:r w:rsidRPr="009263BF">
        <w:rPr>
          <w:rFonts w:ascii="Garamond" w:hAnsi="Garamond" w:cs="Times New Roman"/>
          <w:b/>
          <w:i/>
          <w:sz w:val="23"/>
          <w:szCs w:val="23"/>
        </w:rPr>
        <w:t>Patti d’integrità</w:t>
      </w:r>
      <w:bookmarkEnd w:id="57"/>
      <w:r>
        <w:rPr>
          <w:rFonts w:ascii="Garamond" w:hAnsi="Garamond" w:cs="Times New Roman"/>
          <w:b/>
          <w:i/>
          <w:sz w:val="23"/>
          <w:szCs w:val="23"/>
        </w:rPr>
        <w:t xml:space="preserve"> (Allegato B - MG/10)</w:t>
      </w:r>
    </w:p>
    <w:bookmarkEnd w:id="58"/>
    <w:p w14:paraId="6162D817" w14:textId="77777777" w:rsidR="008C5D06" w:rsidRPr="00D86DC5" w:rsidRDefault="008C5D06" w:rsidP="008C5D06">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Come ricordato dall’ANAC nel PNA del 2019 i protocolli di legalità o patti di integrità sono strumenti negoziali che integrano il contratto originario tra amministrazione e operatore economico, con la finalità di prevedere un </w:t>
      </w:r>
      <w:r w:rsidRPr="00D86DC5">
        <w:rPr>
          <w:rFonts w:ascii="Garamond" w:hAnsi="Garamond" w:cs="Times New Roman"/>
          <w:i/>
          <w:sz w:val="23"/>
          <w:szCs w:val="23"/>
        </w:rPr>
        <w:t>sistema di condizioni</w:t>
      </w:r>
      <w:r w:rsidRPr="00D86DC5">
        <w:rPr>
          <w:rFonts w:ascii="Garamond" w:hAnsi="Garamond" w:cs="Times New Roman"/>
          <w:iCs/>
          <w:sz w:val="23"/>
          <w:szCs w:val="23"/>
        </w:rPr>
        <w:t xml:space="preserve"> la cui accettazione è presupposto necessario e condizionante </w:t>
      </w:r>
      <w:r>
        <w:rPr>
          <w:rFonts w:ascii="Garamond" w:hAnsi="Garamond" w:cs="Times New Roman"/>
          <w:iCs/>
          <w:sz w:val="23"/>
          <w:szCs w:val="23"/>
        </w:rPr>
        <w:t xml:space="preserve">per </w:t>
      </w:r>
      <w:r w:rsidRPr="00D86DC5">
        <w:rPr>
          <w:rFonts w:ascii="Garamond" w:hAnsi="Garamond" w:cs="Times New Roman"/>
          <w:iCs/>
          <w:sz w:val="23"/>
          <w:szCs w:val="23"/>
        </w:rPr>
        <w:t xml:space="preserve">la partecipazione delle imprese alla specifica gara, finalizzate ad ampliare gli impegni cui si obbliga il concorrente, </w:t>
      </w:r>
      <w:r w:rsidRPr="00D86DC5">
        <w:rPr>
          <w:rFonts w:ascii="Garamond" w:hAnsi="Garamond" w:cs="Times New Roman"/>
          <w:i/>
          <w:sz w:val="23"/>
          <w:szCs w:val="23"/>
        </w:rPr>
        <w:t>sia sotto il profilo temporale</w:t>
      </w:r>
      <w:r w:rsidRPr="00D86DC5">
        <w:rPr>
          <w:rFonts w:ascii="Garamond" w:hAnsi="Garamond" w:cs="Times New Roman"/>
          <w:iCs/>
          <w:sz w:val="23"/>
          <w:szCs w:val="23"/>
        </w:rPr>
        <w:t xml:space="preserve"> - nel senso che gli impegni assunti dalle imprese rilevano sin dalla fase precedente alla stipula del contratto di appalto - che </w:t>
      </w:r>
      <w:r w:rsidRPr="00D86DC5">
        <w:rPr>
          <w:rFonts w:ascii="Garamond" w:hAnsi="Garamond" w:cs="Times New Roman"/>
          <w:i/>
          <w:sz w:val="23"/>
          <w:szCs w:val="23"/>
        </w:rPr>
        <w:t>sotto il profilo del contenuto</w:t>
      </w:r>
      <w:r w:rsidRPr="00D86DC5">
        <w:rPr>
          <w:rFonts w:ascii="Garamond" w:hAnsi="Garamond" w:cs="Times New Roman"/>
          <w:iCs/>
          <w:sz w:val="23"/>
          <w:szCs w:val="23"/>
        </w:rPr>
        <w:t xml:space="preserve"> - nel senso che si richiede all'impresa di impegnarsi, in generale non tanto e non solo alla corretta esecuzione del contratto di appalto, ma soprattutto ad un comportamento leale, corretto e trasparente, sottraendosi a qualsiasi tentativo di corruzione o condizionamento dell’aggiudicazione del contratto.</w:t>
      </w:r>
    </w:p>
    <w:p w14:paraId="2808CB51" w14:textId="77777777" w:rsidR="008C5D06" w:rsidRPr="00D86DC5" w:rsidRDefault="008C5D06" w:rsidP="008C5D06">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sz w:val="23"/>
          <w:szCs w:val="23"/>
        </w:rPr>
        <w:t xml:space="preserve">L’AVCP </w:t>
      </w:r>
      <w:r w:rsidRPr="00D86DC5">
        <w:rPr>
          <w:rFonts w:ascii="Garamond" w:hAnsi="Garamond" w:cs="Times New Roman"/>
          <w:i/>
          <w:iCs/>
          <w:sz w:val="23"/>
          <w:szCs w:val="23"/>
        </w:rPr>
        <w:t>(Autorità per la vigilanza sui contratti pubblici di lavori, servizi e forniture)</w:t>
      </w:r>
      <w:r w:rsidRPr="00D86DC5">
        <w:rPr>
          <w:rFonts w:ascii="Garamond" w:hAnsi="Garamond" w:cs="Times New Roman"/>
          <w:sz w:val="23"/>
          <w:szCs w:val="23"/>
        </w:rPr>
        <w:t xml:space="preserve"> nella determinazione n. 4/2012 aveva affermato che </w:t>
      </w:r>
      <w:r w:rsidRPr="00D86DC5">
        <w:rPr>
          <w:rFonts w:ascii="Garamond" w:hAnsi="Garamond" w:cs="Times New Roman"/>
          <w:i/>
          <w:iCs/>
          <w:sz w:val="23"/>
          <w:szCs w:val="23"/>
        </w:rPr>
        <w:t xml:space="preserve">«mediante l’accettazione delle clausole sancite nei protocolli di legalità al momento della presentazione della domanda di partecipazione e/o dell’offerta, l’impresa concorrente accetta, in realtà, regole che rafforzano comportamenti già doverosi per coloro che sono ammessi a partecipare alla gara e che prevedono, in caso di violazione di tali doveri, sanzioni di carattere patrimoniale, oltre alla conseguenza, comune a tutte le procedure concorsuali, della estromissione dalla gara (cfr. </w:t>
      </w:r>
      <w:proofErr w:type="spellStart"/>
      <w:r w:rsidRPr="00D86DC5">
        <w:rPr>
          <w:rFonts w:ascii="Garamond" w:hAnsi="Garamond" w:cs="Times New Roman"/>
          <w:i/>
          <w:iCs/>
          <w:sz w:val="23"/>
          <w:szCs w:val="23"/>
        </w:rPr>
        <w:t>Cons</w:t>
      </w:r>
      <w:proofErr w:type="spellEnd"/>
      <w:r w:rsidRPr="00D86DC5">
        <w:rPr>
          <w:rFonts w:ascii="Garamond" w:hAnsi="Garamond" w:cs="Times New Roman"/>
          <w:i/>
          <w:iCs/>
          <w:sz w:val="23"/>
          <w:szCs w:val="23"/>
        </w:rPr>
        <w:t xml:space="preserve">. St., sez. VI, 8 maggio 2012, n. 2657; </w:t>
      </w:r>
      <w:proofErr w:type="spellStart"/>
      <w:r w:rsidRPr="00D86DC5">
        <w:rPr>
          <w:rFonts w:ascii="Garamond" w:hAnsi="Garamond" w:cs="Times New Roman"/>
          <w:i/>
          <w:iCs/>
          <w:sz w:val="23"/>
          <w:szCs w:val="23"/>
        </w:rPr>
        <w:t>Cons</w:t>
      </w:r>
      <w:proofErr w:type="spellEnd"/>
      <w:r w:rsidRPr="00D86DC5">
        <w:rPr>
          <w:rFonts w:ascii="Garamond" w:hAnsi="Garamond" w:cs="Times New Roman"/>
          <w:i/>
          <w:iCs/>
          <w:sz w:val="23"/>
          <w:szCs w:val="23"/>
        </w:rPr>
        <w:t>. St., sez. V, 9 settembre 2011, n. 5066)».</w:t>
      </w:r>
      <w:r w:rsidRPr="00D86DC5">
        <w:rPr>
          <w:rFonts w:ascii="Garamond" w:hAnsi="Garamond" w:cs="Times New Roman"/>
          <w:iCs/>
          <w:sz w:val="23"/>
          <w:szCs w:val="23"/>
        </w:rPr>
        <w:t xml:space="preserve"> </w:t>
      </w:r>
    </w:p>
    <w:p w14:paraId="746C978C" w14:textId="77777777" w:rsidR="008C5D06" w:rsidRPr="00D86DC5" w:rsidRDefault="008C5D06" w:rsidP="008C5D06">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Tale indicazione ha trovato riconoscimento nell’art. 1, co. 17, della L. 190/2012 laddove si dispone che le pubbliche amministrazioni e le stazioni appaltanti predispongono e utilizzano protocolli di legalità o patti d’integrità per l’affidamento di commesse. A tal fine viene inserita negli avvisi, nei bandi di gara e nelle lettere di invito la </w:t>
      </w:r>
      <w:r w:rsidRPr="00D86DC5">
        <w:rPr>
          <w:rFonts w:ascii="Garamond" w:hAnsi="Garamond" w:cs="Times New Roman"/>
          <w:i/>
          <w:sz w:val="23"/>
          <w:szCs w:val="23"/>
        </w:rPr>
        <w:t>clausola di salvaguardia</w:t>
      </w:r>
      <w:r w:rsidRPr="00D86DC5">
        <w:rPr>
          <w:rFonts w:ascii="Garamond" w:hAnsi="Garamond" w:cs="Times New Roman"/>
          <w:iCs/>
          <w:sz w:val="23"/>
          <w:szCs w:val="23"/>
        </w:rPr>
        <w:t xml:space="preserve"> secondo cui il mancato rispetto del protocollo di legalità o del patto di integrità </w:t>
      </w:r>
      <w:r w:rsidRPr="00D86DC5">
        <w:rPr>
          <w:rFonts w:ascii="Garamond" w:hAnsi="Garamond" w:cs="Times New Roman"/>
          <w:i/>
          <w:sz w:val="23"/>
          <w:szCs w:val="23"/>
        </w:rPr>
        <w:t>dà luogo all’esclusione dalla gara e alla risoluzione del contratto</w:t>
      </w:r>
      <w:r w:rsidRPr="00D86DC5">
        <w:rPr>
          <w:rFonts w:ascii="Garamond" w:hAnsi="Garamond" w:cs="Times New Roman"/>
          <w:iCs/>
          <w:sz w:val="23"/>
          <w:szCs w:val="23"/>
        </w:rPr>
        <w:t>.</w:t>
      </w:r>
    </w:p>
    <w:p w14:paraId="04FECDC0" w14:textId="77777777" w:rsidR="008C5D06" w:rsidRDefault="008C5D06" w:rsidP="008C5D06">
      <w:pPr>
        <w:tabs>
          <w:tab w:val="left" w:pos="9354"/>
        </w:tabs>
        <w:autoSpaceDE w:val="0"/>
        <w:autoSpaceDN w:val="0"/>
        <w:adjustRightInd w:val="0"/>
        <w:spacing w:after="0" w:line="276" w:lineRule="auto"/>
        <w:ind w:right="-1"/>
        <w:jc w:val="both"/>
        <w:rPr>
          <w:rFonts w:ascii="Garamond" w:hAnsi="Garamond" w:cs="Times New Roman"/>
          <w:sz w:val="23"/>
          <w:szCs w:val="23"/>
        </w:rPr>
      </w:pPr>
      <w:r w:rsidRPr="00766A20">
        <w:rPr>
          <w:rFonts w:ascii="Garamond" w:hAnsi="Garamond" w:cs="Times New Roman"/>
          <w:sz w:val="23"/>
          <w:szCs w:val="23"/>
        </w:rPr>
        <w:t xml:space="preserve">In tale contesto, la Giunta Regionale con deliberazione n.703 del 27/10/2015 </w:t>
      </w:r>
      <w:r w:rsidRPr="00766A20">
        <w:rPr>
          <w:rFonts w:ascii="Garamond" w:hAnsi="Garamond" w:cs="Times New Roman"/>
          <w:i/>
          <w:iCs/>
          <w:sz w:val="23"/>
          <w:szCs w:val="23"/>
        </w:rPr>
        <w:t xml:space="preserve">“Approvazione dello schema di Patto di Integrità in materia di contratti pubblici regionali nelle procedure di affidamento dei contratti pubblici assegnati dalla Regione Abruzzo” </w:t>
      </w:r>
      <w:r w:rsidRPr="00766A20">
        <w:rPr>
          <w:rFonts w:ascii="Garamond" w:hAnsi="Garamond" w:cs="Times New Roman"/>
          <w:sz w:val="23"/>
          <w:szCs w:val="23"/>
        </w:rPr>
        <w:t>ha approvato lo schema di patto di integrità e con deliberazione n. 663 del 27/11/2017 “</w:t>
      </w:r>
      <w:r w:rsidRPr="00766A20">
        <w:rPr>
          <w:rFonts w:ascii="Garamond" w:hAnsi="Garamond" w:cs="Times New Roman"/>
          <w:i/>
          <w:iCs/>
          <w:sz w:val="23"/>
          <w:szCs w:val="23"/>
        </w:rPr>
        <w:t>Approvazione dello schema di Protocollo di Legalità tra la Giunta Regionale d'Abruzzo e le Società e gli Enti da essa controllati o partecipati</w:t>
      </w:r>
      <w:r w:rsidRPr="00766A20">
        <w:rPr>
          <w:rFonts w:ascii="Garamond" w:hAnsi="Garamond" w:cs="Times New Roman"/>
          <w:sz w:val="23"/>
          <w:szCs w:val="23"/>
        </w:rPr>
        <w:t xml:space="preserve">” </w:t>
      </w:r>
      <w:r w:rsidRPr="00766A20">
        <w:rPr>
          <w:rFonts w:ascii="Garamond" w:hAnsi="Garamond" w:cs="Times New Roman"/>
          <w:sz w:val="23"/>
          <w:szCs w:val="23"/>
        </w:rPr>
        <w:lastRenderedPageBreak/>
        <w:t>ha approvato lo schema di protocollo di legalità tra la Regione Abruzzo e le società/enti di diritto privato controllati-partecipati.</w:t>
      </w:r>
    </w:p>
    <w:p w14:paraId="5B3D101A" w14:textId="77777777" w:rsidR="008C5D06" w:rsidRDefault="008C5D06" w:rsidP="00582EFE">
      <w:pPr>
        <w:tabs>
          <w:tab w:val="left" w:pos="9354"/>
        </w:tabs>
        <w:autoSpaceDE w:val="0"/>
        <w:autoSpaceDN w:val="0"/>
        <w:adjustRightInd w:val="0"/>
        <w:spacing w:after="0" w:line="276" w:lineRule="auto"/>
        <w:ind w:right="-1"/>
        <w:jc w:val="both"/>
        <w:rPr>
          <w:rFonts w:ascii="Garamond" w:hAnsi="Garamond" w:cs="Times New Roman"/>
          <w:sz w:val="23"/>
          <w:szCs w:val="23"/>
        </w:rPr>
      </w:pPr>
    </w:p>
    <w:p w14:paraId="6FEBBE73" w14:textId="77777777" w:rsidR="007A57AE" w:rsidRPr="009263BF" w:rsidRDefault="007A57AE" w:rsidP="00582EFE">
      <w:pPr>
        <w:spacing w:after="0" w:line="276" w:lineRule="auto"/>
        <w:ind w:right="-1"/>
        <w:jc w:val="both"/>
        <w:rPr>
          <w:rFonts w:ascii="Garamond" w:hAnsi="Garamond" w:cs="Times New Roman"/>
          <w:b/>
          <w:i/>
          <w:sz w:val="23"/>
          <w:szCs w:val="23"/>
        </w:rPr>
      </w:pPr>
      <w:bookmarkStart w:id="59" w:name="_Toc43329228"/>
      <w:bookmarkStart w:id="60" w:name="_Hlk101637498"/>
      <w:r w:rsidRPr="009263BF">
        <w:rPr>
          <w:rFonts w:ascii="Garamond" w:hAnsi="Garamond" w:cs="Times New Roman"/>
          <w:b/>
          <w:i/>
          <w:sz w:val="23"/>
          <w:szCs w:val="23"/>
        </w:rPr>
        <w:t>La tutela del dipendente che effettua segnalazioni di illecito (</w:t>
      </w:r>
      <w:proofErr w:type="spellStart"/>
      <w:r w:rsidRPr="009263BF">
        <w:rPr>
          <w:rFonts w:ascii="Garamond" w:hAnsi="Garamond" w:cs="Times New Roman"/>
          <w:b/>
          <w:i/>
          <w:sz w:val="23"/>
          <w:szCs w:val="23"/>
        </w:rPr>
        <w:t>Whistleblowing</w:t>
      </w:r>
      <w:proofErr w:type="spellEnd"/>
      <w:r w:rsidRPr="009263BF">
        <w:rPr>
          <w:rFonts w:ascii="Garamond" w:hAnsi="Garamond" w:cs="Times New Roman"/>
          <w:b/>
          <w:i/>
          <w:sz w:val="23"/>
          <w:szCs w:val="23"/>
        </w:rPr>
        <w:t>)</w:t>
      </w:r>
      <w:bookmarkEnd w:id="59"/>
    </w:p>
    <w:bookmarkEnd w:id="60"/>
    <w:p w14:paraId="41F624E8"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In Italia l’istituto giuridico c.d. </w:t>
      </w:r>
      <w:proofErr w:type="spellStart"/>
      <w:r w:rsidRPr="00EB1ADB">
        <w:rPr>
          <w:rFonts w:ascii="Garamond" w:hAnsi="Garamond" w:cs="Times New Roman"/>
          <w:i/>
          <w:iCs/>
          <w:sz w:val="23"/>
          <w:szCs w:val="23"/>
        </w:rPr>
        <w:t>whistleblowing</w:t>
      </w:r>
      <w:proofErr w:type="spellEnd"/>
      <w:r w:rsidRPr="00D86DC5">
        <w:rPr>
          <w:rFonts w:ascii="Garamond" w:hAnsi="Garamond" w:cs="Times New Roman"/>
          <w:iCs/>
          <w:sz w:val="23"/>
          <w:szCs w:val="23"/>
        </w:rPr>
        <w:t xml:space="preserve"> è stato introdotto dalla Legge 6 novembre 2012, n. 190 adottata in ottemperanza a raccomandazioni e obblighi convenzionali, che promanano dal contesto ONU, OCSE, Consiglio d’Europa e Unione europea. </w:t>
      </w:r>
    </w:p>
    <w:p w14:paraId="1AF2BE1D"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In particolare, l’art. 1, co. 51, della richiamata legge ha introdotto l’art. 54-bis all’interno del </w:t>
      </w:r>
      <w:proofErr w:type="spellStart"/>
      <w:proofErr w:type="gramStart"/>
      <w:r w:rsidRPr="00D86DC5">
        <w:rPr>
          <w:rFonts w:ascii="Garamond" w:hAnsi="Garamond" w:cs="Times New Roman"/>
          <w:iCs/>
          <w:sz w:val="23"/>
          <w:szCs w:val="23"/>
        </w:rPr>
        <w:t>D.Lgs</w:t>
      </w:r>
      <w:proofErr w:type="gramEnd"/>
      <w:r w:rsidRPr="00D86DC5">
        <w:rPr>
          <w:rFonts w:ascii="Garamond" w:hAnsi="Garamond" w:cs="Times New Roman"/>
          <w:iCs/>
          <w:sz w:val="23"/>
          <w:szCs w:val="23"/>
        </w:rPr>
        <w:t>.</w:t>
      </w:r>
      <w:proofErr w:type="spellEnd"/>
      <w:r w:rsidRPr="00D86DC5">
        <w:rPr>
          <w:rFonts w:ascii="Garamond" w:hAnsi="Garamond" w:cs="Times New Roman"/>
          <w:iCs/>
          <w:sz w:val="23"/>
          <w:szCs w:val="23"/>
        </w:rPr>
        <w:t xml:space="preserve"> 165/2001 il quale prevede un regime di tutela del dipendente pubblico che segnala condotte illecite di cui sia venuto a conoscenza in ragione del rapporto di lavoro.</w:t>
      </w:r>
    </w:p>
    <w:p w14:paraId="180678B9" w14:textId="72CD68B8"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La disciplina è stata integrata dal decreto legge 24 giugno 2014, n. 90, convertito nella legge 11 agosto</w:t>
      </w:r>
      <w:r w:rsidR="00B95233">
        <w:rPr>
          <w:rFonts w:ascii="Garamond" w:hAnsi="Garamond" w:cs="Times New Roman"/>
          <w:iCs/>
          <w:sz w:val="23"/>
          <w:szCs w:val="23"/>
        </w:rPr>
        <w:t xml:space="preserve"> </w:t>
      </w:r>
      <w:r w:rsidRPr="00D86DC5">
        <w:rPr>
          <w:rFonts w:ascii="Garamond" w:hAnsi="Garamond" w:cs="Times New Roman"/>
          <w:iCs/>
          <w:sz w:val="23"/>
          <w:szCs w:val="23"/>
        </w:rPr>
        <w:t xml:space="preserve">2014, n. 114, </w:t>
      </w:r>
      <w:r w:rsidRPr="00D86DC5">
        <w:rPr>
          <w:rFonts w:ascii="Garamond" w:hAnsi="Garamond" w:cs="Times New Roman"/>
          <w:i/>
          <w:sz w:val="23"/>
          <w:szCs w:val="23"/>
        </w:rPr>
        <w:t>«Misure urgenti per la semplificazione e la trasparenza amministrativa e per l'efficienza degli uffici giudiziari»,</w:t>
      </w:r>
      <w:r w:rsidRPr="00D86DC5">
        <w:rPr>
          <w:rFonts w:ascii="Garamond" w:hAnsi="Garamond" w:cs="Times New Roman"/>
          <w:iCs/>
          <w:sz w:val="23"/>
          <w:szCs w:val="23"/>
        </w:rPr>
        <w:t xml:space="preserve"> che ha modificato l’art. 54-bis introducendo anche l’ANAC quale soggetto destinatario delle segnalazioni. </w:t>
      </w:r>
    </w:p>
    <w:p w14:paraId="4B520EB9"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L’ANAC è divenuta, dunque, destinataria di segnalazioni di </w:t>
      </w:r>
      <w:proofErr w:type="spellStart"/>
      <w:r w:rsidRPr="00EB1ADB">
        <w:rPr>
          <w:rFonts w:ascii="Garamond" w:hAnsi="Garamond" w:cs="Times New Roman"/>
          <w:i/>
          <w:iCs/>
          <w:sz w:val="23"/>
          <w:szCs w:val="23"/>
        </w:rPr>
        <w:t>whistleblowing</w:t>
      </w:r>
      <w:proofErr w:type="spellEnd"/>
      <w:r w:rsidRPr="00D86DC5">
        <w:rPr>
          <w:rFonts w:ascii="Garamond" w:hAnsi="Garamond" w:cs="Times New Roman"/>
          <w:iCs/>
          <w:sz w:val="23"/>
          <w:szCs w:val="23"/>
        </w:rPr>
        <w:t xml:space="preserve"> provenienti dalle amministrazioni pubbliche. </w:t>
      </w:r>
    </w:p>
    <w:p w14:paraId="260BADEB" w14:textId="022BA4CC"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
          <w:sz w:val="23"/>
          <w:szCs w:val="23"/>
        </w:rPr>
      </w:pPr>
      <w:r w:rsidRPr="00D86DC5">
        <w:rPr>
          <w:rFonts w:ascii="Garamond" w:hAnsi="Garamond" w:cs="Times New Roman"/>
          <w:iCs/>
          <w:sz w:val="23"/>
          <w:szCs w:val="23"/>
        </w:rPr>
        <w:t xml:space="preserve">Così, ai sensi dell’art. 54-bis vigente: </w:t>
      </w:r>
      <w:r w:rsidRPr="00D86DC5">
        <w:rPr>
          <w:rFonts w:ascii="Garamond" w:hAnsi="Garamond" w:cs="Times New Roman"/>
          <w:i/>
          <w:sz w:val="23"/>
          <w:szCs w:val="23"/>
        </w:rPr>
        <w:t>«Il pubblico dipendente che, nell'interesse dell'integrità della pubblica amministrazione, segnala al responsabile della prevenzione della c</w:t>
      </w:r>
      <w:r w:rsidR="005A7E41">
        <w:rPr>
          <w:rFonts w:ascii="Garamond" w:hAnsi="Garamond" w:cs="Times New Roman"/>
          <w:i/>
          <w:sz w:val="23"/>
          <w:szCs w:val="23"/>
        </w:rPr>
        <w:t>orruzione e della trasparenza …</w:t>
      </w:r>
      <w:r w:rsidRPr="00D86DC5">
        <w:rPr>
          <w:rFonts w:ascii="Garamond" w:hAnsi="Garamond" w:cs="Times New Roman"/>
          <w:i/>
          <w:sz w:val="23"/>
          <w:szCs w:val="23"/>
        </w:rPr>
        <w:t xml:space="preserve"> ovvero all'Autorità nazionale anticorruzione (ANAC), o denuncia all'autorità giudiziaria ordinaria o a quella contabile, condotte illecite di cui è venuto a conoscenza in ragione del proprio rapporto di lavoro non può essere sanzionato, </w:t>
      </w:r>
      <w:proofErr w:type="spellStart"/>
      <w:r w:rsidRPr="00D86DC5">
        <w:rPr>
          <w:rFonts w:ascii="Garamond" w:hAnsi="Garamond" w:cs="Times New Roman"/>
          <w:i/>
          <w:sz w:val="23"/>
          <w:szCs w:val="23"/>
        </w:rPr>
        <w:t>demansionato</w:t>
      </w:r>
      <w:proofErr w:type="spellEnd"/>
      <w:r w:rsidRPr="00D86DC5">
        <w:rPr>
          <w:rFonts w:ascii="Garamond" w:hAnsi="Garamond" w:cs="Times New Roman"/>
          <w:i/>
          <w:sz w:val="23"/>
          <w:szCs w:val="23"/>
        </w:rPr>
        <w:t>, licenziato, trasferito, o sottoposto ad altra misura organizzativa avente effetti negativi, diretti o indiretti, sulle condizioni di lavoro determinata dalla segnalazione. L'adozione di misure ritenute ritorsive, di cui al primo periodo, nei confronti del segnalante è comunicata in ogni caso all'ANAC dall'interessato o dalle organizzazioni sindacali maggiormente rappresentative nell'amministrazione nella quale le stesse sono state poste in essere. L'ANAC informa il Dipartimento della funzione pubblica della Presidenza del Consiglio dei ministri o gli altri organismi di garanzia o di disciplina per le attività e gli eventuali provvedimenti di competenza».</w:t>
      </w:r>
    </w:p>
    <w:p w14:paraId="2C9F0631"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L’ultima riforma dell’istituto si deve alla L. 179/2017 recante </w:t>
      </w:r>
      <w:r w:rsidRPr="00D86DC5">
        <w:rPr>
          <w:rFonts w:ascii="Garamond" w:hAnsi="Garamond" w:cs="Times New Roman"/>
          <w:i/>
          <w:sz w:val="23"/>
          <w:szCs w:val="23"/>
        </w:rPr>
        <w:t>«Disposizioni per la tutela degli autori di segnalazioni di reati o irregolarità di cui siano venuti a conoscenza nell’ambito di un rapporto di lavoro pubblico o privato»</w:t>
      </w:r>
      <w:r w:rsidRPr="00D86DC5">
        <w:rPr>
          <w:rFonts w:ascii="Garamond" w:hAnsi="Garamond" w:cs="Times New Roman"/>
          <w:iCs/>
          <w:sz w:val="23"/>
          <w:szCs w:val="23"/>
        </w:rPr>
        <w:t xml:space="preserve">, entrata in vigore il 29 dicembre 2017. </w:t>
      </w:r>
    </w:p>
    <w:p w14:paraId="6BBD4603"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La L. 179/2017 si compone di tre articoli. Il primo, </w:t>
      </w:r>
      <w:r w:rsidRPr="00D86DC5">
        <w:rPr>
          <w:rFonts w:ascii="Garamond" w:hAnsi="Garamond" w:cs="Times New Roman"/>
          <w:i/>
          <w:sz w:val="23"/>
          <w:szCs w:val="23"/>
        </w:rPr>
        <w:t>«Tutela del dipendente pubblico che segnala illeciti»</w:t>
      </w:r>
      <w:r w:rsidRPr="00D86DC5">
        <w:rPr>
          <w:rFonts w:ascii="Garamond" w:hAnsi="Garamond" w:cs="Times New Roman"/>
          <w:iCs/>
          <w:sz w:val="23"/>
          <w:szCs w:val="23"/>
        </w:rPr>
        <w:t xml:space="preserve"> riscrive integralmente l’art. 54-bis del </w:t>
      </w:r>
      <w:proofErr w:type="spellStart"/>
      <w:proofErr w:type="gramStart"/>
      <w:r w:rsidRPr="00D86DC5">
        <w:rPr>
          <w:rFonts w:ascii="Garamond" w:hAnsi="Garamond" w:cs="Times New Roman"/>
          <w:iCs/>
          <w:sz w:val="23"/>
          <w:szCs w:val="23"/>
        </w:rPr>
        <w:t>D.Lgs</w:t>
      </w:r>
      <w:proofErr w:type="gramEnd"/>
      <w:r w:rsidRPr="00D86DC5">
        <w:rPr>
          <w:rFonts w:ascii="Garamond" w:hAnsi="Garamond" w:cs="Times New Roman"/>
          <w:iCs/>
          <w:sz w:val="23"/>
          <w:szCs w:val="23"/>
        </w:rPr>
        <w:t>.</w:t>
      </w:r>
      <w:proofErr w:type="spellEnd"/>
      <w:r w:rsidRPr="00D86DC5">
        <w:rPr>
          <w:rFonts w:ascii="Garamond" w:hAnsi="Garamond" w:cs="Times New Roman"/>
          <w:iCs/>
          <w:sz w:val="23"/>
          <w:szCs w:val="23"/>
        </w:rPr>
        <w:t xml:space="preserve"> 165/2001. Il secondo, </w:t>
      </w:r>
      <w:r w:rsidRPr="00D86DC5">
        <w:rPr>
          <w:rFonts w:ascii="Garamond" w:hAnsi="Garamond" w:cs="Times New Roman"/>
          <w:i/>
          <w:sz w:val="23"/>
          <w:szCs w:val="23"/>
        </w:rPr>
        <w:t>«Tutela del dipendente o collaboratore che segnala illeciti nel settore privato»</w:t>
      </w:r>
      <w:r w:rsidRPr="00D86DC5">
        <w:rPr>
          <w:rFonts w:ascii="Garamond" w:hAnsi="Garamond" w:cs="Times New Roman"/>
          <w:iCs/>
          <w:sz w:val="23"/>
          <w:szCs w:val="23"/>
        </w:rPr>
        <w:t xml:space="preserve"> prevede, per la prima volta nel nostro ordinamento, specifiche misure a tutela dei </w:t>
      </w:r>
      <w:proofErr w:type="spellStart"/>
      <w:r w:rsidRPr="00EB1ADB">
        <w:rPr>
          <w:rFonts w:ascii="Garamond" w:hAnsi="Garamond" w:cs="Times New Roman"/>
          <w:i/>
          <w:iCs/>
          <w:sz w:val="23"/>
          <w:szCs w:val="23"/>
        </w:rPr>
        <w:t>whistleblowers</w:t>
      </w:r>
      <w:proofErr w:type="spellEnd"/>
      <w:r w:rsidRPr="00D86DC5">
        <w:rPr>
          <w:rFonts w:ascii="Garamond" w:hAnsi="Garamond" w:cs="Times New Roman"/>
          <w:iCs/>
          <w:sz w:val="23"/>
          <w:szCs w:val="23"/>
        </w:rPr>
        <w:t xml:space="preserve"> nel settore privato, aggiungendo il co. 2-bis all’interno dell’art. 6 del decreto legislativo 8 giugno 2001, n. 231 «</w:t>
      </w:r>
      <w:r w:rsidRPr="00D86DC5">
        <w:rPr>
          <w:rFonts w:ascii="Garamond" w:hAnsi="Garamond" w:cs="Times New Roman"/>
          <w:i/>
          <w:sz w:val="23"/>
          <w:szCs w:val="23"/>
        </w:rPr>
        <w:t>Disciplina della responsabilità amministrativa delle persone giuridiche, delle società e delle associazioni anche prive di personalità giuridica, a norma dell'articolo 11 della legge 29 settembre 2000, n. 300».</w:t>
      </w:r>
      <w:r w:rsidRPr="00D86DC5">
        <w:rPr>
          <w:rFonts w:ascii="Garamond" w:hAnsi="Garamond" w:cs="Times New Roman"/>
          <w:iCs/>
          <w:sz w:val="23"/>
          <w:szCs w:val="23"/>
        </w:rPr>
        <w:t xml:space="preserve"> Il terzo, </w:t>
      </w:r>
      <w:r w:rsidRPr="00D86DC5">
        <w:rPr>
          <w:rFonts w:ascii="Garamond" w:hAnsi="Garamond" w:cs="Times New Roman"/>
          <w:i/>
          <w:sz w:val="23"/>
          <w:szCs w:val="23"/>
        </w:rPr>
        <w:t>«Integrazione della disciplina dell'obbligo di segreto d'ufficio, aziendale, professionale, scientifico e industriale»</w:t>
      </w:r>
      <w:r w:rsidRPr="00D86DC5">
        <w:rPr>
          <w:rFonts w:ascii="Garamond" w:hAnsi="Garamond" w:cs="Times New Roman"/>
          <w:iCs/>
          <w:sz w:val="23"/>
          <w:szCs w:val="23"/>
        </w:rPr>
        <w:t xml:space="preserve"> contiene una disposizione comune alle segnalazioni effettuate, sia nel settore pubblico nelle forme e nei limiti previsti dall’art. 54-bis, sia nel settore privato nelle forme e nei limiti previsti dall’art. 6 del D. Lgs.231/2001. Si tratta di una clausola di esonero dalla responsabilità (artt. 326, 622, 623 c.p.) nel caso in cui il segnalante riveli un segreto d’ufficio, aziendale, professionale, scientifico o industriale o violi il dovere di lealtà e fedeltà (art. 2015 c.c.).</w:t>
      </w:r>
    </w:p>
    <w:p w14:paraId="5733D47A"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bCs/>
          <w:iCs/>
          <w:sz w:val="23"/>
          <w:szCs w:val="23"/>
        </w:rPr>
      </w:pPr>
      <w:r w:rsidRPr="00D86DC5">
        <w:rPr>
          <w:rFonts w:ascii="Garamond" w:hAnsi="Garamond" w:cs="Times New Roman"/>
          <w:bCs/>
          <w:iCs/>
          <w:sz w:val="23"/>
          <w:szCs w:val="23"/>
        </w:rPr>
        <w:t xml:space="preserve">Nel dicembre 2019 è intervenuto il Garante Privacy che, con il parere sullo schema di </w:t>
      </w:r>
      <w:r w:rsidRPr="00D86DC5">
        <w:rPr>
          <w:rFonts w:ascii="Garamond" w:hAnsi="Garamond" w:cs="Times New Roman"/>
          <w:bCs/>
          <w:i/>
          <w:iCs/>
          <w:sz w:val="23"/>
          <w:szCs w:val="23"/>
        </w:rPr>
        <w:t xml:space="preserve">"Linee guida in materia di tutela degli autori di segnalazioni di reati o irregolarità di cui siano venuti a conoscenza in ragione di un rapporto di lavoro, ai sensi dell’art. 54-bis del d.lgs. 165/2001 (c.d. </w:t>
      </w:r>
      <w:proofErr w:type="spellStart"/>
      <w:r w:rsidRPr="00D86DC5">
        <w:rPr>
          <w:rFonts w:ascii="Garamond" w:hAnsi="Garamond" w:cs="Times New Roman"/>
          <w:bCs/>
          <w:i/>
          <w:iCs/>
          <w:sz w:val="23"/>
          <w:szCs w:val="23"/>
        </w:rPr>
        <w:t>whistleblowing</w:t>
      </w:r>
      <w:proofErr w:type="spellEnd"/>
      <w:r w:rsidRPr="00D86DC5">
        <w:rPr>
          <w:rFonts w:ascii="Garamond" w:hAnsi="Garamond" w:cs="Times New Roman"/>
          <w:bCs/>
          <w:i/>
          <w:iCs/>
          <w:sz w:val="23"/>
          <w:szCs w:val="23"/>
        </w:rPr>
        <w:t>)"</w:t>
      </w:r>
      <w:r w:rsidRPr="00D86DC5">
        <w:rPr>
          <w:rFonts w:ascii="Garamond" w:hAnsi="Garamond" w:cs="Times New Roman"/>
          <w:bCs/>
          <w:iCs/>
          <w:sz w:val="23"/>
          <w:szCs w:val="23"/>
        </w:rPr>
        <w:t>, previsto dalla citata disposizione di cui al comma 5 dell’art. 54 bis, ha fornito delle ulteriori precisazioni in merito ad interventi tecnici ed organizzativi necessari ad assicurare il rispetto dei principi della privacy.</w:t>
      </w:r>
    </w:p>
    <w:p w14:paraId="7A6B4208"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bCs/>
          <w:iCs/>
          <w:sz w:val="23"/>
          <w:szCs w:val="23"/>
        </w:rPr>
      </w:pPr>
      <w:r w:rsidRPr="00D86DC5">
        <w:rPr>
          <w:rFonts w:ascii="Garamond" w:hAnsi="Garamond" w:cs="Times New Roman"/>
          <w:bCs/>
          <w:iCs/>
          <w:sz w:val="23"/>
          <w:szCs w:val="23"/>
        </w:rPr>
        <w:t xml:space="preserve"> Il Garante Privacy ha osservato che:</w:t>
      </w:r>
    </w:p>
    <w:p w14:paraId="7FD11474" w14:textId="77777777" w:rsidR="007A57AE" w:rsidRPr="00D86DC5" w:rsidRDefault="007A57AE" w:rsidP="00724C70">
      <w:pPr>
        <w:numPr>
          <w:ilvl w:val="0"/>
          <w:numId w:val="6"/>
        </w:numPr>
        <w:tabs>
          <w:tab w:val="left" w:pos="9354"/>
        </w:tabs>
        <w:autoSpaceDE w:val="0"/>
        <w:autoSpaceDN w:val="0"/>
        <w:adjustRightInd w:val="0"/>
        <w:spacing w:after="0" w:line="276" w:lineRule="auto"/>
        <w:ind w:right="-1"/>
        <w:jc w:val="both"/>
        <w:rPr>
          <w:rFonts w:ascii="Garamond" w:hAnsi="Garamond" w:cs="Times New Roman"/>
          <w:bCs/>
          <w:i/>
          <w:iCs/>
          <w:sz w:val="23"/>
          <w:szCs w:val="23"/>
        </w:rPr>
      </w:pPr>
      <w:r w:rsidRPr="00D86DC5">
        <w:rPr>
          <w:rFonts w:ascii="Garamond" w:hAnsi="Garamond" w:cs="Times New Roman"/>
          <w:bCs/>
          <w:i/>
          <w:iCs/>
          <w:sz w:val="23"/>
          <w:szCs w:val="23"/>
        </w:rPr>
        <w:t xml:space="preserve">è necessario circoscrivere le condotte segnalabili al fine di evitare l’illecito trattamento dei dati da parte di uffici non competenti consentendo al solo RPCT la possibilità di associare l'identità del </w:t>
      </w:r>
      <w:proofErr w:type="spellStart"/>
      <w:r w:rsidRPr="00D86DC5">
        <w:rPr>
          <w:rFonts w:ascii="Garamond" w:hAnsi="Garamond" w:cs="Times New Roman"/>
          <w:bCs/>
          <w:i/>
          <w:iCs/>
          <w:sz w:val="23"/>
          <w:szCs w:val="23"/>
        </w:rPr>
        <w:t>whistleblower</w:t>
      </w:r>
      <w:proofErr w:type="spellEnd"/>
      <w:r w:rsidRPr="00D86DC5">
        <w:rPr>
          <w:rFonts w:ascii="Garamond" w:hAnsi="Garamond" w:cs="Times New Roman"/>
          <w:bCs/>
          <w:i/>
          <w:iCs/>
          <w:sz w:val="23"/>
          <w:szCs w:val="23"/>
        </w:rPr>
        <w:t xml:space="preserve"> alla segnalazione presentata;</w:t>
      </w:r>
    </w:p>
    <w:p w14:paraId="130AA78B" w14:textId="77777777" w:rsidR="007A57AE" w:rsidRPr="00766A20" w:rsidRDefault="007A57AE" w:rsidP="00724C70">
      <w:pPr>
        <w:numPr>
          <w:ilvl w:val="0"/>
          <w:numId w:val="6"/>
        </w:numPr>
        <w:tabs>
          <w:tab w:val="left" w:pos="9354"/>
        </w:tabs>
        <w:autoSpaceDE w:val="0"/>
        <w:autoSpaceDN w:val="0"/>
        <w:adjustRightInd w:val="0"/>
        <w:spacing w:after="0" w:line="276" w:lineRule="auto"/>
        <w:ind w:right="-1"/>
        <w:jc w:val="both"/>
        <w:rPr>
          <w:rFonts w:ascii="Garamond" w:hAnsi="Garamond" w:cs="Times New Roman"/>
          <w:bCs/>
          <w:i/>
          <w:iCs/>
          <w:sz w:val="23"/>
          <w:szCs w:val="23"/>
        </w:rPr>
      </w:pPr>
      <w:r w:rsidRPr="00766A20">
        <w:rPr>
          <w:rFonts w:ascii="Garamond" w:hAnsi="Garamond" w:cs="Times New Roman"/>
          <w:bCs/>
          <w:i/>
          <w:iCs/>
          <w:sz w:val="23"/>
          <w:szCs w:val="23"/>
        </w:rPr>
        <w:lastRenderedPageBreak/>
        <w:t>è necessario garantire che il segnalante non riceva notifiche sullo stato della pratica riconducibili alla segnalazione da lui effettuata;</w:t>
      </w:r>
    </w:p>
    <w:p w14:paraId="1ACA4DA6" w14:textId="77777777" w:rsidR="007A57AE" w:rsidRPr="00D86DC5" w:rsidRDefault="007A57AE" w:rsidP="00724C70">
      <w:pPr>
        <w:numPr>
          <w:ilvl w:val="0"/>
          <w:numId w:val="6"/>
        </w:numPr>
        <w:tabs>
          <w:tab w:val="left" w:pos="9354"/>
        </w:tabs>
        <w:autoSpaceDE w:val="0"/>
        <w:autoSpaceDN w:val="0"/>
        <w:adjustRightInd w:val="0"/>
        <w:spacing w:after="0" w:line="276" w:lineRule="auto"/>
        <w:ind w:right="-1"/>
        <w:jc w:val="both"/>
        <w:rPr>
          <w:rFonts w:ascii="Garamond" w:hAnsi="Garamond" w:cs="Times New Roman"/>
          <w:bCs/>
          <w:i/>
          <w:iCs/>
          <w:sz w:val="23"/>
          <w:szCs w:val="23"/>
        </w:rPr>
      </w:pPr>
      <w:r w:rsidRPr="00D86DC5">
        <w:rPr>
          <w:rFonts w:ascii="Garamond" w:hAnsi="Garamond" w:cs="Times New Roman"/>
          <w:bCs/>
          <w:i/>
          <w:iCs/>
          <w:sz w:val="23"/>
          <w:szCs w:val="23"/>
        </w:rPr>
        <w:t>è necessario affidarsi esclusivamente a protocolli sicuri per la trasmissione dei dati.</w:t>
      </w:r>
    </w:p>
    <w:p w14:paraId="5E119E16" w14:textId="77777777" w:rsidR="007A57AE" w:rsidRPr="00D86DC5" w:rsidRDefault="00293D5C"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È</w:t>
      </w:r>
      <w:r w:rsidR="007A57AE" w:rsidRPr="00D86DC5">
        <w:rPr>
          <w:rFonts w:ascii="Garamond" w:hAnsi="Garamond" w:cs="Times New Roman"/>
          <w:iCs/>
          <w:sz w:val="23"/>
          <w:szCs w:val="23"/>
        </w:rPr>
        <w:t xml:space="preserve"> importante segnalare l’introduzione di una peculiare disciplina sul fronte del potere sanzionatorio in materia riconosciuto all’ANAC che dal 29 dicembre 2017 (data di entrata in vigore della legge 179/2017) è titolata a trattare le segnalazioni ritorsive che inviano i dipendenti pubblici e che subiscono in ragione di una segnalazione di illecito. </w:t>
      </w:r>
    </w:p>
    <w:p w14:paraId="64EAA874"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La novella ha previsto che se nell’ambito della istruttoria condotta dall’ANAC venga accertata l'adozione di misure discriminatorie da parte di una delle amministrazioni pubbliche o di uno degli enti assoggettati alla disciplina, fermi</w:t>
      </w:r>
      <w:r w:rsidRPr="00D86DC5">
        <w:rPr>
          <w:rFonts w:ascii="Garamond" w:hAnsi="Garamond" w:cs="Times New Roman"/>
          <w:sz w:val="23"/>
          <w:szCs w:val="23"/>
        </w:rPr>
        <w:t xml:space="preserve"> </w:t>
      </w:r>
      <w:r w:rsidRPr="00D86DC5">
        <w:rPr>
          <w:rFonts w:ascii="Garamond" w:hAnsi="Garamond" w:cs="Times New Roman"/>
          <w:iCs/>
          <w:sz w:val="23"/>
          <w:szCs w:val="23"/>
        </w:rPr>
        <w:t xml:space="preserve">restando gli altri profili di responsabilità, la stessa potrà applicare al responsabile che ha adottato la misura una sanzione amministrativa pecuniaria che va da 5.000 a 30.000 euro. </w:t>
      </w:r>
    </w:p>
    <w:p w14:paraId="194D4AA7" w14:textId="5161E6C1" w:rsidR="007A57AE" w:rsidRPr="0047621E"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iCs/>
          <w:sz w:val="23"/>
          <w:szCs w:val="23"/>
        </w:rPr>
        <w:t xml:space="preserve">Come pure da segnalare è </w:t>
      </w:r>
      <w:r w:rsidRPr="00405FED">
        <w:rPr>
          <w:rFonts w:ascii="Garamond" w:hAnsi="Garamond" w:cs="Times New Roman"/>
          <w:iCs/>
          <w:sz w:val="23"/>
          <w:szCs w:val="23"/>
        </w:rPr>
        <w:t xml:space="preserve">l’ipotesi in cui venga accertata </w:t>
      </w:r>
      <w:r w:rsidRPr="00405FED">
        <w:rPr>
          <w:rFonts w:ascii="Garamond" w:hAnsi="Garamond" w:cs="Times New Roman"/>
          <w:i/>
          <w:iCs/>
          <w:sz w:val="23"/>
          <w:szCs w:val="23"/>
        </w:rPr>
        <w:t xml:space="preserve">l'assenza di procedure per l'inoltro e la gestione delle segnalazioni ovvero l'adozione di procedure non conformi </w:t>
      </w:r>
      <w:r w:rsidRPr="00405FED">
        <w:rPr>
          <w:rFonts w:ascii="Garamond" w:hAnsi="Garamond" w:cs="Times New Roman"/>
          <w:iCs/>
          <w:sz w:val="23"/>
          <w:szCs w:val="23"/>
        </w:rPr>
        <w:t>a quelle di cui al comma 5, per cui l'ANAC applica al responsabile la sanzione amministrativa pecuniaria da 10.000 a 50.000 euro.</w:t>
      </w:r>
      <w:r w:rsidRPr="00405FED">
        <w:rPr>
          <w:rFonts w:ascii="Garamond" w:hAnsi="Garamond" w:cs="Times New Roman"/>
          <w:i/>
          <w:sz w:val="23"/>
          <w:szCs w:val="23"/>
        </w:rPr>
        <w:t xml:space="preserve"> </w:t>
      </w:r>
      <w:r w:rsidRPr="00405FED">
        <w:rPr>
          <w:rFonts w:ascii="Garamond" w:hAnsi="Garamond" w:cs="Times New Roman"/>
          <w:iCs/>
          <w:sz w:val="23"/>
          <w:szCs w:val="23"/>
        </w:rPr>
        <w:t xml:space="preserve">O ancora, qualora venga accertato il mancato svolgimento, da parte del responsabile, di </w:t>
      </w:r>
      <w:r w:rsidR="00FE5FDC" w:rsidRPr="00405FED">
        <w:rPr>
          <w:rFonts w:ascii="Garamond" w:hAnsi="Garamond" w:cs="Times New Roman"/>
          <w:iCs/>
          <w:sz w:val="23"/>
          <w:szCs w:val="23"/>
        </w:rPr>
        <w:t>attività</w:t>
      </w:r>
      <w:r w:rsidRPr="00405FED">
        <w:rPr>
          <w:rFonts w:ascii="Garamond" w:hAnsi="Garamond" w:cs="Times New Roman"/>
          <w:iCs/>
          <w:sz w:val="23"/>
          <w:szCs w:val="23"/>
        </w:rPr>
        <w:t xml:space="preserve"> di verifica e analisi delle segnalazioni ricevute, allo stesso si applica la sanzione amministrativa pecuniaria da 10.000 a 50.000 euro.</w:t>
      </w:r>
    </w:p>
    <w:p w14:paraId="45359A58" w14:textId="4EE8F77C" w:rsidR="007A57AE" w:rsidRPr="00766A20" w:rsidRDefault="000A76FA" w:rsidP="00582EFE">
      <w:pPr>
        <w:tabs>
          <w:tab w:val="left" w:pos="9354"/>
        </w:tabs>
        <w:autoSpaceDE w:val="0"/>
        <w:autoSpaceDN w:val="0"/>
        <w:adjustRightInd w:val="0"/>
        <w:spacing w:after="0" w:line="276" w:lineRule="auto"/>
        <w:ind w:right="-1"/>
        <w:jc w:val="both"/>
        <w:rPr>
          <w:rFonts w:ascii="Garamond" w:hAnsi="Garamond" w:cs="Times New Roman"/>
          <w:bCs/>
          <w:iCs/>
          <w:sz w:val="23"/>
          <w:szCs w:val="23"/>
        </w:rPr>
      </w:pPr>
      <w:r w:rsidRPr="00766A20">
        <w:rPr>
          <w:rFonts w:ascii="Garamond" w:hAnsi="Garamond" w:cs="Times New Roman"/>
          <w:bCs/>
          <w:iCs/>
          <w:sz w:val="23"/>
          <w:szCs w:val="23"/>
        </w:rPr>
        <w:t>È</w:t>
      </w:r>
      <w:r w:rsidR="007A57AE" w:rsidRPr="00766A20">
        <w:rPr>
          <w:rFonts w:ascii="Garamond" w:hAnsi="Garamond" w:cs="Times New Roman"/>
          <w:bCs/>
          <w:iCs/>
          <w:sz w:val="23"/>
          <w:szCs w:val="23"/>
        </w:rPr>
        <w:t xml:space="preserve"> opportuno segnalare che l’esercizio del potere sanzionatorio riconosciuto all’ANAC in materia è stato da ultimo regolamentato con il Regolamento</w:t>
      </w:r>
      <w:r w:rsidR="00E1254A" w:rsidRPr="00766A20">
        <w:rPr>
          <w:rFonts w:ascii="Garamond" w:hAnsi="Garamond" w:cs="Times New Roman"/>
          <w:bCs/>
          <w:iCs/>
          <w:sz w:val="23"/>
          <w:szCs w:val="23"/>
        </w:rPr>
        <w:t xml:space="preserve"> approvato dal Consiglio dell’Autorità nell’adunanza del 1° luglio 2020 con Delibera n. 690,</w:t>
      </w:r>
      <w:r w:rsidR="007A57AE" w:rsidRPr="00766A20">
        <w:rPr>
          <w:rFonts w:ascii="Garamond" w:hAnsi="Garamond" w:cs="Times New Roman"/>
          <w:bCs/>
          <w:iCs/>
          <w:sz w:val="23"/>
          <w:szCs w:val="23"/>
        </w:rPr>
        <w:t xml:space="preserve"> in vigore dal 03 settembre 2020, che, in ossequio all'art. 54-bis, co.6</w:t>
      </w:r>
      <w:r w:rsidR="00FE5FDC" w:rsidRPr="00766A20">
        <w:rPr>
          <w:rFonts w:ascii="Garamond" w:hAnsi="Garamond" w:cs="Times New Roman"/>
          <w:bCs/>
          <w:iCs/>
          <w:sz w:val="23"/>
          <w:szCs w:val="23"/>
        </w:rPr>
        <w:t>,</w:t>
      </w:r>
      <w:r w:rsidR="007A57AE" w:rsidRPr="00766A20">
        <w:rPr>
          <w:rFonts w:ascii="Garamond" w:hAnsi="Garamond" w:cs="Times New Roman"/>
          <w:bCs/>
          <w:iCs/>
          <w:sz w:val="23"/>
          <w:szCs w:val="23"/>
        </w:rPr>
        <w:t xml:space="preserve"> del </w:t>
      </w:r>
      <w:proofErr w:type="spellStart"/>
      <w:proofErr w:type="gramStart"/>
      <w:r w:rsidR="007A57AE" w:rsidRPr="00766A20">
        <w:rPr>
          <w:rFonts w:ascii="Garamond" w:hAnsi="Garamond" w:cs="Times New Roman"/>
          <w:bCs/>
          <w:iCs/>
          <w:sz w:val="23"/>
          <w:szCs w:val="23"/>
        </w:rPr>
        <w:t>D.Lsg</w:t>
      </w:r>
      <w:proofErr w:type="spellEnd"/>
      <w:proofErr w:type="gramEnd"/>
      <w:r w:rsidR="007A57AE" w:rsidRPr="00766A20">
        <w:rPr>
          <w:rFonts w:ascii="Garamond" w:hAnsi="Garamond" w:cs="Times New Roman"/>
          <w:bCs/>
          <w:iCs/>
          <w:sz w:val="23"/>
          <w:szCs w:val="23"/>
        </w:rPr>
        <w:t>. 165/2001</w:t>
      </w:r>
      <w:r w:rsidR="00FE5FDC" w:rsidRPr="00766A20">
        <w:rPr>
          <w:rFonts w:ascii="Garamond" w:hAnsi="Garamond" w:cs="Times New Roman"/>
          <w:bCs/>
          <w:iCs/>
          <w:sz w:val="23"/>
          <w:szCs w:val="23"/>
        </w:rPr>
        <w:t>,</w:t>
      </w:r>
      <w:r w:rsidR="007A57AE" w:rsidRPr="00766A20">
        <w:rPr>
          <w:rFonts w:ascii="Garamond" w:hAnsi="Garamond" w:cs="Times New Roman"/>
          <w:bCs/>
          <w:iCs/>
          <w:sz w:val="23"/>
          <w:szCs w:val="23"/>
        </w:rPr>
        <w:t xml:space="preserve"> disciplina e sanziona il mancato ricorso a strumenti che non garantiscano la riservatezza dell'identità del segnalante e del contenuto delle segnalazioni, elementi imprescindibili per l'Autorità.</w:t>
      </w:r>
    </w:p>
    <w:p w14:paraId="5360F86D" w14:textId="66BBD7E1" w:rsidR="0047621E" w:rsidRPr="00766A20" w:rsidRDefault="00E1254A" w:rsidP="00C153F9">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766A20">
        <w:rPr>
          <w:rFonts w:ascii="Garamond" w:hAnsi="Garamond" w:cs="Times New Roman"/>
          <w:iCs/>
          <w:sz w:val="23"/>
          <w:szCs w:val="23"/>
        </w:rPr>
        <w:t>Con Delibera n. 469 del 9 giugno 2021, l’ANAC ha adottato le “</w:t>
      </w:r>
      <w:r w:rsidRPr="00766A20">
        <w:rPr>
          <w:rFonts w:ascii="Garamond" w:hAnsi="Garamond" w:cs="Times New Roman"/>
          <w:i/>
          <w:iCs/>
          <w:sz w:val="23"/>
          <w:szCs w:val="23"/>
        </w:rPr>
        <w:t xml:space="preserve">Linee guida in materia di tutela degli autori di segnalazioni di reati o irregolarità di cui siano venuti a conoscenza in ragione di un rapporto di lavoro, ai sensi dell’art. 54-bis, del d.lgs. 165/2001 (c.d. </w:t>
      </w:r>
      <w:proofErr w:type="spellStart"/>
      <w:r w:rsidRPr="00766A20">
        <w:rPr>
          <w:rFonts w:ascii="Garamond" w:hAnsi="Garamond" w:cs="Times New Roman"/>
          <w:i/>
          <w:iCs/>
          <w:sz w:val="23"/>
          <w:szCs w:val="23"/>
        </w:rPr>
        <w:t>whistleblowing</w:t>
      </w:r>
      <w:proofErr w:type="spellEnd"/>
      <w:r w:rsidRPr="00766A20">
        <w:rPr>
          <w:rFonts w:ascii="Garamond" w:hAnsi="Garamond" w:cs="Times New Roman"/>
          <w:i/>
          <w:iCs/>
          <w:sz w:val="23"/>
          <w:szCs w:val="23"/>
        </w:rPr>
        <w:t>)</w:t>
      </w:r>
      <w:r w:rsidRPr="00766A20">
        <w:rPr>
          <w:rFonts w:ascii="Garamond" w:hAnsi="Garamond" w:cs="Times New Roman"/>
          <w:iCs/>
          <w:sz w:val="23"/>
          <w:szCs w:val="23"/>
        </w:rPr>
        <w:t>”, che forniscono indicazioni</w:t>
      </w:r>
      <w:r w:rsidR="00C153F9" w:rsidRPr="00766A20">
        <w:rPr>
          <w:rFonts w:ascii="Garamond" w:hAnsi="Garamond" w:cs="Times New Roman"/>
          <w:iCs/>
          <w:sz w:val="23"/>
          <w:szCs w:val="23"/>
        </w:rPr>
        <w:t xml:space="preserve"> sui principi e sulle modalità di gestione della segnalazione nonché sul ruolo del RPCT e dell’ANAC, e</w:t>
      </w:r>
      <w:r w:rsidRPr="00766A20">
        <w:rPr>
          <w:rFonts w:ascii="Garamond" w:hAnsi="Garamond" w:cs="Times New Roman"/>
          <w:iCs/>
          <w:sz w:val="23"/>
          <w:szCs w:val="23"/>
        </w:rPr>
        <w:t xml:space="preserve"> superano le precedenti adottate con Determinazione n. 6 del 28 aprile 2015 (e i relativi allegati), i cui effetti si intendono pertanto cessati.</w:t>
      </w:r>
    </w:p>
    <w:p w14:paraId="346F0C38" w14:textId="77777777" w:rsidR="007A57AE" w:rsidRPr="00766A20"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766A20">
        <w:rPr>
          <w:rFonts w:ascii="Garamond" w:hAnsi="Garamond" w:cs="Times New Roman"/>
          <w:iCs/>
          <w:sz w:val="23"/>
          <w:szCs w:val="23"/>
        </w:rPr>
        <w:t xml:space="preserve">Con riguardo all’oggetto delle segnalazioni è opportuno precisare che non esiste un elenco tassativo di reati o irregolarità che possono costituire l’oggetto del </w:t>
      </w:r>
      <w:proofErr w:type="spellStart"/>
      <w:r w:rsidRPr="00766A20">
        <w:rPr>
          <w:rFonts w:ascii="Garamond" w:hAnsi="Garamond" w:cs="Times New Roman"/>
          <w:i/>
          <w:iCs/>
          <w:sz w:val="23"/>
          <w:szCs w:val="23"/>
        </w:rPr>
        <w:t>whistleblowing</w:t>
      </w:r>
      <w:proofErr w:type="spellEnd"/>
      <w:r w:rsidRPr="00766A20">
        <w:rPr>
          <w:rFonts w:ascii="Garamond" w:hAnsi="Garamond" w:cs="Times New Roman"/>
          <w:iCs/>
          <w:sz w:val="23"/>
          <w:szCs w:val="23"/>
        </w:rPr>
        <w:t xml:space="preserve">. </w:t>
      </w:r>
    </w:p>
    <w:p w14:paraId="2334898D"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766A20">
        <w:rPr>
          <w:rFonts w:ascii="Garamond" w:hAnsi="Garamond" w:cs="Times New Roman"/>
          <w:iCs/>
          <w:sz w:val="23"/>
          <w:szCs w:val="23"/>
        </w:rPr>
        <w:t xml:space="preserve">Vengono, pertanto, considerate rilevanti le segnalazioni che riguardano azioni od omissioni, </w:t>
      </w:r>
      <w:r w:rsidRPr="00766A20">
        <w:rPr>
          <w:rFonts w:ascii="Garamond" w:hAnsi="Garamond" w:cs="Times New Roman"/>
          <w:i/>
          <w:sz w:val="23"/>
          <w:szCs w:val="23"/>
        </w:rPr>
        <w:t>penalmente rilevanti</w:t>
      </w:r>
      <w:r w:rsidRPr="00766A20">
        <w:rPr>
          <w:rFonts w:ascii="Garamond" w:hAnsi="Garamond" w:cs="Times New Roman"/>
          <w:iCs/>
          <w:sz w:val="23"/>
          <w:szCs w:val="23"/>
        </w:rPr>
        <w:t xml:space="preserve">;  poste in essere in </w:t>
      </w:r>
      <w:r w:rsidRPr="00766A20">
        <w:rPr>
          <w:rFonts w:ascii="Garamond" w:hAnsi="Garamond" w:cs="Times New Roman"/>
          <w:i/>
          <w:sz w:val="23"/>
          <w:szCs w:val="23"/>
        </w:rPr>
        <w:t>violazione dei Codici di comportamento o di altre disposizioni interne sanzionabili in via disciplinare</w:t>
      </w:r>
      <w:r w:rsidRPr="00766A20">
        <w:rPr>
          <w:rFonts w:ascii="Garamond" w:hAnsi="Garamond" w:cs="Times New Roman"/>
          <w:iCs/>
          <w:sz w:val="23"/>
          <w:szCs w:val="23"/>
        </w:rPr>
        <w:t xml:space="preserve">;  suscettibili di arrecare un </w:t>
      </w:r>
      <w:r w:rsidRPr="00766A20">
        <w:rPr>
          <w:rFonts w:ascii="Garamond" w:hAnsi="Garamond" w:cs="Times New Roman"/>
          <w:i/>
          <w:sz w:val="23"/>
          <w:szCs w:val="23"/>
        </w:rPr>
        <w:t>pregiudizio patrimoniale all’amministrazione di appartenenza o ad altro ente pubblico</w:t>
      </w:r>
      <w:r w:rsidRPr="00766A20">
        <w:rPr>
          <w:rFonts w:ascii="Garamond" w:hAnsi="Garamond" w:cs="Times New Roman"/>
          <w:iCs/>
          <w:sz w:val="23"/>
          <w:szCs w:val="23"/>
        </w:rPr>
        <w:t xml:space="preserve">; suscettibili di arrecare </w:t>
      </w:r>
      <w:r w:rsidRPr="00766A20">
        <w:rPr>
          <w:rFonts w:ascii="Garamond" w:hAnsi="Garamond" w:cs="Times New Roman"/>
          <w:i/>
          <w:sz w:val="23"/>
          <w:szCs w:val="23"/>
        </w:rPr>
        <w:t>un pregiudizio all’immagine dell’Ente</w:t>
      </w:r>
      <w:r w:rsidRPr="00766A20">
        <w:rPr>
          <w:rFonts w:ascii="Garamond" w:hAnsi="Garamond" w:cs="Times New Roman"/>
          <w:iCs/>
          <w:sz w:val="23"/>
          <w:szCs w:val="23"/>
        </w:rPr>
        <w:t xml:space="preserve">; suscettibili di arrecare </w:t>
      </w:r>
      <w:r w:rsidRPr="00766A20">
        <w:rPr>
          <w:rFonts w:ascii="Garamond" w:hAnsi="Garamond" w:cs="Times New Roman"/>
          <w:i/>
          <w:sz w:val="23"/>
          <w:szCs w:val="23"/>
        </w:rPr>
        <w:t>un danno alla salute o sicurezza dei dipendenti, utenti e cittadini o di arrecare un danno all’ambiente</w:t>
      </w:r>
      <w:r w:rsidRPr="00766A20">
        <w:rPr>
          <w:rFonts w:ascii="Garamond" w:hAnsi="Garamond" w:cs="Times New Roman"/>
          <w:iCs/>
          <w:sz w:val="23"/>
          <w:szCs w:val="23"/>
        </w:rPr>
        <w:t>.</w:t>
      </w:r>
      <w:r w:rsidRPr="00D86DC5">
        <w:rPr>
          <w:rFonts w:ascii="Garamond" w:hAnsi="Garamond" w:cs="Times New Roman"/>
          <w:iCs/>
          <w:sz w:val="23"/>
          <w:szCs w:val="23"/>
        </w:rPr>
        <w:t xml:space="preserve">  </w:t>
      </w:r>
    </w:p>
    <w:p w14:paraId="318DAB75"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color w:val="FF0000"/>
          <w:sz w:val="23"/>
          <w:szCs w:val="23"/>
        </w:rPr>
      </w:pPr>
      <w:r w:rsidRPr="00D86DC5">
        <w:rPr>
          <w:rFonts w:ascii="Garamond" w:hAnsi="Garamond" w:cs="Times New Roman"/>
          <w:iCs/>
          <w:sz w:val="23"/>
          <w:szCs w:val="23"/>
        </w:rPr>
        <w:t xml:space="preserve">Il </w:t>
      </w:r>
      <w:proofErr w:type="spellStart"/>
      <w:r w:rsidRPr="00BB48B3">
        <w:rPr>
          <w:rFonts w:ascii="Garamond" w:hAnsi="Garamond" w:cs="Times New Roman"/>
          <w:i/>
          <w:iCs/>
          <w:sz w:val="23"/>
          <w:szCs w:val="23"/>
        </w:rPr>
        <w:t>whistleblowing</w:t>
      </w:r>
      <w:proofErr w:type="spellEnd"/>
      <w:r w:rsidRPr="00D86DC5">
        <w:rPr>
          <w:rFonts w:ascii="Garamond" w:hAnsi="Garamond" w:cs="Times New Roman"/>
          <w:iCs/>
          <w:sz w:val="23"/>
          <w:szCs w:val="23"/>
        </w:rPr>
        <w:t xml:space="preserve"> non riguarda doglianze di carattere personale del segnalante o rivendicazioni/istanze che rientrano nella disciplina del rapporto di lavoro o rapporti col superiore gerarchico o colleghi, per le quali occorre fare riferimento alla Struttura organizzativa in cui è incardinato il dipendente o alla struttura competente in materia di risorse umane. </w:t>
      </w:r>
    </w:p>
    <w:p w14:paraId="22F77B0D" w14:textId="52A6276A"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
          <w:sz w:val="23"/>
          <w:szCs w:val="23"/>
        </w:rPr>
      </w:pPr>
      <w:r w:rsidRPr="00D86DC5">
        <w:rPr>
          <w:rFonts w:ascii="Garamond" w:hAnsi="Garamond" w:cs="Times New Roman"/>
          <w:iCs/>
          <w:sz w:val="23"/>
          <w:szCs w:val="23"/>
        </w:rPr>
        <w:t>A termini del comma 5 dell’art. 54-bis: “</w:t>
      </w:r>
      <w:r w:rsidRPr="00D86DC5">
        <w:rPr>
          <w:rFonts w:ascii="Garamond" w:hAnsi="Garamond" w:cs="Times New Roman"/>
          <w:i/>
          <w:sz w:val="23"/>
          <w:szCs w:val="23"/>
        </w:rPr>
        <w:t xml:space="preserve">L'ANAC, sentito il Garante per la protezione dei dati personali, adotta apposite linee guida </w:t>
      </w:r>
      <w:r w:rsidR="00BB48B3">
        <w:rPr>
          <w:rFonts w:ascii="Garamond" w:hAnsi="Garamond" w:cs="Times New Roman"/>
          <w:i/>
          <w:sz w:val="23"/>
          <w:szCs w:val="23"/>
        </w:rPr>
        <w:t>relative alle procedure per l</w:t>
      </w:r>
      <w:r w:rsidRPr="00D86DC5">
        <w:rPr>
          <w:rFonts w:ascii="Garamond" w:hAnsi="Garamond" w:cs="Times New Roman"/>
          <w:i/>
          <w:sz w:val="23"/>
          <w:szCs w:val="23"/>
        </w:rPr>
        <w:t>a presentazione e l</w:t>
      </w:r>
      <w:r w:rsidR="0047621E">
        <w:rPr>
          <w:rFonts w:ascii="Garamond" w:hAnsi="Garamond" w:cs="Times New Roman"/>
          <w:i/>
          <w:sz w:val="23"/>
          <w:szCs w:val="23"/>
        </w:rPr>
        <w:t xml:space="preserve">a gestione delle segnalazioni. </w:t>
      </w:r>
      <w:r w:rsidRPr="00D86DC5">
        <w:rPr>
          <w:rFonts w:ascii="Garamond" w:hAnsi="Garamond" w:cs="Times New Roman"/>
          <w:i/>
          <w:sz w:val="23"/>
          <w:szCs w:val="23"/>
        </w:rPr>
        <w:t xml:space="preserve">Le linee guida prevedono l'utilizzo di </w:t>
      </w:r>
      <w:r w:rsidR="00BB48B3" w:rsidRPr="00D86DC5">
        <w:rPr>
          <w:rFonts w:ascii="Garamond" w:hAnsi="Garamond" w:cs="Times New Roman"/>
          <w:i/>
          <w:sz w:val="23"/>
          <w:szCs w:val="23"/>
        </w:rPr>
        <w:t>modalità</w:t>
      </w:r>
      <w:r w:rsidRPr="00D86DC5">
        <w:rPr>
          <w:rFonts w:ascii="Garamond" w:hAnsi="Garamond" w:cs="Times New Roman"/>
          <w:i/>
          <w:sz w:val="23"/>
          <w:szCs w:val="23"/>
        </w:rPr>
        <w:t xml:space="preserve"> anche informatiche e promuovono il ricorso a strumenti di crittografia per garantire la riservatezza </w:t>
      </w:r>
      <w:r w:rsidR="00BB48B3" w:rsidRPr="00D86DC5">
        <w:rPr>
          <w:rFonts w:ascii="Garamond" w:hAnsi="Garamond" w:cs="Times New Roman"/>
          <w:i/>
          <w:sz w:val="23"/>
          <w:szCs w:val="23"/>
        </w:rPr>
        <w:t>dell’identità</w:t>
      </w:r>
      <w:r w:rsidRPr="00D86DC5">
        <w:rPr>
          <w:rFonts w:ascii="Garamond" w:hAnsi="Garamond" w:cs="Times New Roman"/>
          <w:i/>
          <w:sz w:val="23"/>
          <w:szCs w:val="23"/>
        </w:rPr>
        <w:t xml:space="preserve"> del segnalante e per il contenuto delle segnalazioni e della relativa documentazione</w:t>
      </w:r>
      <w:r w:rsidR="00BB48B3">
        <w:rPr>
          <w:rFonts w:ascii="Garamond" w:hAnsi="Garamond" w:cs="Times New Roman"/>
          <w:sz w:val="23"/>
          <w:szCs w:val="23"/>
        </w:rPr>
        <w:t>”</w:t>
      </w:r>
      <w:r w:rsidRPr="00BB48B3">
        <w:rPr>
          <w:rFonts w:ascii="Garamond" w:hAnsi="Garamond" w:cs="Times New Roman"/>
          <w:sz w:val="23"/>
          <w:szCs w:val="23"/>
        </w:rPr>
        <w:t>.</w:t>
      </w:r>
    </w:p>
    <w:p w14:paraId="0B386982" w14:textId="77777777" w:rsidR="007A57AE" w:rsidRPr="00D86DC5" w:rsidRDefault="00F43393" w:rsidP="00582EFE">
      <w:pPr>
        <w:tabs>
          <w:tab w:val="left" w:pos="9354"/>
        </w:tabs>
        <w:autoSpaceDE w:val="0"/>
        <w:autoSpaceDN w:val="0"/>
        <w:adjustRightInd w:val="0"/>
        <w:spacing w:after="0" w:line="276" w:lineRule="auto"/>
        <w:ind w:right="-1"/>
        <w:jc w:val="both"/>
        <w:rPr>
          <w:rFonts w:ascii="Garamond" w:hAnsi="Garamond" w:cs="Times New Roman"/>
          <w:i/>
          <w:sz w:val="23"/>
          <w:szCs w:val="23"/>
        </w:rPr>
      </w:pPr>
      <w:r w:rsidRPr="00D86DC5">
        <w:rPr>
          <w:rFonts w:ascii="Garamond" w:hAnsi="Garamond" w:cs="Times New Roman"/>
          <w:sz w:val="23"/>
          <w:szCs w:val="23"/>
        </w:rPr>
        <w:t xml:space="preserve">Ai fini della migliore attuazione della presente Misura, è stata messa a disposizione apposita piattaforma </w:t>
      </w:r>
      <w:r w:rsidR="00776FB9" w:rsidRPr="00D86DC5">
        <w:rPr>
          <w:rFonts w:ascii="Garamond" w:hAnsi="Garamond" w:cs="Times New Roman"/>
          <w:sz w:val="23"/>
          <w:szCs w:val="23"/>
        </w:rPr>
        <w:t>informatica (attraverso opportun</w:t>
      </w:r>
      <w:r w:rsidR="007017C7" w:rsidRPr="00D86DC5">
        <w:rPr>
          <w:rFonts w:ascii="Garamond" w:hAnsi="Garamond" w:cs="Times New Roman"/>
          <w:sz w:val="23"/>
          <w:szCs w:val="23"/>
        </w:rPr>
        <w:t>e</w:t>
      </w:r>
      <w:r w:rsidR="00776FB9" w:rsidRPr="00D86DC5">
        <w:rPr>
          <w:rFonts w:ascii="Garamond" w:hAnsi="Garamond" w:cs="Times New Roman"/>
          <w:sz w:val="23"/>
          <w:szCs w:val="23"/>
        </w:rPr>
        <w:t xml:space="preserve"> configurazion</w:t>
      </w:r>
      <w:r w:rsidR="007017C7" w:rsidRPr="00D86DC5">
        <w:rPr>
          <w:rFonts w:ascii="Garamond" w:hAnsi="Garamond" w:cs="Times New Roman"/>
          <w:sz w:val="23"/>
          <w:szCs w:val="23"/>
        </w:rPr>
        <w:t>i</w:t>
      </w:r>
      <w:r w:rsidR="00776FB9" w:rsidRPr="00D86DC5">
        <w:rPr>
          <w:rFonts w:ascii="Garamond" w:hAnsi="Garamond" w:cs="Times New Roman"/>
          <w:sz w:val="23"/>
          <w:szCs w:val="23"/>
        </w:rPr>
        <w:t xml:space="preserve"> di software messo a disposizione dall’ANAC)</w:t>
      </w:r>
      <w:r w:rsidRPr="00D86DC5">
        <w:rPr>
          <w:rFonts w:ascii="Garamond" w:hAnsi="Garamond" w:cs="Times New Roman"/>
          <w:sz w:val="23"/>
          <w:szCs w:val="23"/>
        </w:rPr>
        <w:t>,</w:t>
      </w:r>
      <w:r w:rsidR="007A57AE" w:rsidRPr="00D86DC5">
        <w:rPr>
          <w:rFonts w:ascii="Garamond" w:hAnsi="Garamond" w:cs="Times New Roman"/>
          <w:sz w:val="23"/>
          <w:szCs w:val="23"/>
        </w:rPr>
        <w:t xml:space="preserve"> per la gestione delle procedure relative alla segnalazione di illeciti (</w:t>
      </w:r>
      <w:proofErr w:type="spellStart"/>
      <w:r w:rsidR="007A57AE" w:rsidRPr="00D86DC5">
        <w:rPr>
          <w:rFonts w:ascii="Garamond" w:hAnsi="Garamond" w:cs="Times New Roman"/>
          <w:i/>
          <w:sz w:val="23"/>
          <w:szCs w:val="23"/>
        </w:rPr>
        <w:t>whistleblower</w:t>
      </w:r>
      <w:proofErr w:type="spellEnd"/>
      <w:r w:rsidR="007A57AE" w:rsidRPr="00D86DC5">
        <w:rPr>
          <w:rFonts w:ascii="Garamond" w:hAnsi="Garamond" w:cs="Times New Roman"/>
          <w:sz w:val="23"/>
          <w:szCs w:val="23"/>
        </w:rPr>
        <w:t>), con garanzia dell’anonimato del dipendente che segnala illeciti e di riservatezza nelle fasi di gestione del procedimento da parte dello stesso RPCT.</w:t>
      </w:r>
      <w:r w:rsidR="00776FB9" w:rsidRPr="00D86DC5">
        <w:rPr>
          <w:rFonts w:ascii="Garamond" w:hAnsi="Garamond" w:cs="Times New Roman"/>
          <w:sz w:val="23"/>
          <w:szCs w:val="23"/>
        </w:rPr>
        <w:t xml:space="preserve"> </w:t>
      </w:r>
    </w:p>
    <w:p w14:paraId="0E345428" w14:textId="245D4E2F"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
          <w:sz w:val="23"/>
          <w:szCs w:val="23"/>
        </w:rPr>
      </w:pPr>
      <w:r w:rsidRPr="00D86DC5">
        <w:rPr>
          <w:rFonts w:ascii="Garamond" w:hAnsi="Garamond" w:cs="Times New Roman"/>
          <w:sz w:val="23"/>
          <w:szCs w:val="23"/>
        </w:rPr>
        <w:lastRenderedPageBreak/>
        <w:t xml:space="preserve">Con D.G.R. n.42 del 03/02/2021 è stata adottata la Piattaforma Informatica per la gestione delle procedure relative alla segnalazione di illeciti - Art. 54 bis del </w:t>
      </w:r>
      <w:proofErr w:type="spellStart"/>
      <w:proofErr w:type="gramStart"/>
      <w:r w:rsidRPr="00D86DC5">
        <w:rPr>
          <w:rFonts w:ascii="Garamond" w:hAnsi="Garamond" w:cs="Times New Roman"/>
          <w:sz w:val="23"/>
          <w:szCs w:val="23"/>
        </w:rPr>
        <w:t>D.Lgs</w:t>
      </w:r>
      <w:proofErr w:type="gramEnd"/>
      <w:r w:rsidRPr="00D86DC5">
        <w:rPr>
          <w:rFonts w:ascii="Garamond" w:hAnsi="Garamond" w:cs="Times New Roman"/>
          <w:sz w:val="23"/>
          <w:szCs w:val="23"/>
        </w:rPr>
        <w:t>.</w:t>
      </w:r>
      <w:proofErr w:type="spellEnd"/>
      <w:r w:rsidRPr="00D86DC5">
        <w:rPr>
          <w:rFonts w:ascii="Garamond" w:hAnsi="Garamond" w:cs="Times New Roman"/>
          <w:sz w:val="23"/>
          <w:szCs w:val="23"/>
        </w:rPr>
        <w:t xml:space="preserve"> 165/2001</w:t>
      </w:r>
      <w:r w:rsidR="00354521">
        <w:rPr>
          <w:rFonts w:ascii="Garamond" w:hAnsi="Garamond" w:cs="Times New Roman"/>
          <w:sz w:val="23"/>
          <w:szCs w:val="23"/>
        </w:rPr>
        <w:t>,</w:t>
      </w:r>
      <w:r w:rsidRPr="00D86DC5">
        <w:rPr>
          <w:rFonts w:ascii="Garamond" w:hAnsi="Garamond" w:cs="Times New Roman"/>
          <w:sz w:val="23"/>
          <w:szCs w:val="23"/>
        </w:rPr>
        <w:t xml:space="preserve"> procedendo alla successiva sua attivazione sul sito istituzionale dell’Ente nella Sezione </w:t>
      </w:r>
      <w:r w:rsidRPr="00D86DC5">
        <w:rPr>
          <w:rFonts w:ascii="Garamond" w:hAnsi="Garamond" w:cs="Times New Roman"/>
          <w:i/>
          <w:sz w:val="23"/>
          <w:szCs w:val="23"/>
        </w:rPr>
        <w:t>Amministrazione Trasparente.</w:t>
      </w:r>
    </w:p>
    <w:p w14:paraId="088D314A"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Per procedere alla segnalazione di illeciti è possibile accedere alla piattaforma collegandosi al seguente link: </w:t>
      </w:r>
      <w:hyperlink r:id="rId12" w:history="1">
        <w:r w:rsidRPr="00D86DC5">
          <w:rPr>
            <w:rStyle w:val="Collegamentoipertestuale"/>
            <w:rFonts w:ascii="Garamond" w:hAnsi="Garamond" w:cs="Times New Roman"/>
            <w:sz w:val="23"/>
            <w:szCs w:val="23"/>
          </w:rPr>
          <w:t>https://anticorruzione.regione.abruzzo.it</w:t>
        </w:r>
      </w:hyperlink>
    </w:p>
    <w:p w14:paraId="2BA8A48C"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Sempre sul sito istituzionale dell’Amministrazione regionale nella Sezione </w:t>
      </w:r>
      <w:r w:rsidRPr="00D86DC5">
        <w:rPr>
          <w:rFonts w:ascii="Garamond" w:hAnsi="Garamond" w:cs="Times New Roman"/>
          <w:i/>
          <w:sz w:val="23"/>
          <w:szCs w:val="23"/>
        </w:rPr>
        <w:t>Amministrazione Trasparente</w:t>
      </w:r>
      <w:r w:rsidRPr="00D86DC5">
        <w:rPr>
          <w:rFonts w:ascii="Garamond" w:hAnsi="Garamond" w:cs="Times New Roman"/>
          <w:sz w:val="23"/>
          <w:szCs w:val="23"/>
        </w:rPr>
        <w:t xml:space="preserve">, è, altresì, possibile consultare il </w:t>
      </w:r>
      <w:r w:rsidRPr="00D86DC5">
        <w:rPr>
          <w:rFonts w:ascii="Garamond" w:hAnsi="Garamond" w:cs="Times New Roman"/>
          <w:i/>
          <w:sz w:val="23"/>
          <w:szCs w:val="23"/>
        </w:rPr>
        <w:t>Manuale Operativo</w:t>
      </w:r>
      <w:r w:rsidRPr="00D86DC5">
        <w:rPr>
          <w:rFonts w:ascii="Garamond" w:hAnsi="Garamond" w:cs="Times New Roman"/>
          <w:sz w:val="23"/>
          <w:szCs w:val="23"/>
        </w:rPr>
        <w:t xml:space="preserve"> per un più agevole utilizzo dell’applicativo.</w:t>
      </w:r>
    </w:p>
    <w:p w14:paraId="7FBD5F54" w14:textId="5B3E28F8" w:rsidR="007A57AE"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Per effettuare l’accesso da remoto occorre utilizzare “AWINGU” secondo le istruzioni fornite per lo </w:t>
      </w:r>
      <w:proofErr w:type="spellStart"/>
      <w:r w:rsidRPr="00D86DC5">
        <w:rPr>
          <w:rFonts w:ascii="Garamond" w:hAnsi="Garamond" w:cs="Times New Roman"/>
          <w:sz w:val="23"/>
          <w:szCs w:val="23"/>
        </w:rPr>
        <w:t>smart</w:t>
      </w:r>
      <w:proofErr w:type="spellEnd"/>
      <w:r w:rsidRPr="00D86DC5">
        <w:rPr>
          <w:rFonts w:ascii="Garamond" w:hAnsi="Garamond" w:cs="Times New Roman"/>
          <w:sz w:val="23"/>
          <w:szCs w:val="23"/>
        </w:rPr>
        <w:t xml:space="preserve"> </w:t>
      </w:r>
      <w:proofErr w:type="spellStart"/>
      <w:r w:rsidRPr="00D86DC5">
        <w:rPr>
          <w:rFonts w:ascii="Garamond" w:hAnsi="Garamond" w:cs="Times New Roman"/>
          <w:sz w:val="23"/>
          <w:szCs w:val="23"/>
        </w:rPr>
        <w:t>working</w:t>
      </w:r>
      <w:proofErr w:type="spellEnd"/>
      <w:r w:rsidRPr="00D86DC5">
        <w:rPr>
          <w:rFonts w:ascii="Garamond" w:hAnsi="Garamond" w:cs="Times New Roman"/>
          <w:sz w:val="23"/>
          <w:szCs w:val="23"/>
        </w:rPr>
        <w:t>.</w:t>
      </w:r>
    </w:p>
    <w:p w14:paraId="7AB69E70" w14:textId="77777777" w:rsidR="008C5D06" w:rsidRDefault="008C5D06" w:rsidP="00582EFE">
      <w:pPr>
        <w:tabs>
          <w:tab w:val="left" w:pos="9354"/>
        </w:tabs>
        <w:autoSpaceDE w:val="0"/>
        <w:autoSpaceDN w:val="0"/>
        <w:adjustRightInd w:val="0"/>
        <w:spacing w:after="0" w:line="276" w:lineRule="auto"/>
        <w:ind w:right="-1"/>
        <w:jc w:val="both"/>
        <w:rPr>
          <w:rFonts w:ascii="Garamond" w:hAnsi="Garamond" w:cs="Times New Roman"/>
          <w:sz w:val="23"/>
          <w:szCs w:val="23"/>
        </w:rPr>
      </w:pPr>
    </w:p>
    <w:p w14:paraId="1EFF1CDE" w14:textId="70257B66" w:rsidR="007A57AE" w:rsidRPr="009263BF" w:rsidRDefault="007A57AE" w:rsidP="00582EFE">
      <w:pPr>
        <w:spacing w:after="0" w:line="276" w:lineRule="auto"/>
        <w:ind w:right="-1"/>
        <w:jc w:val="both"/>
        <w:rPr>
          <w:rFonts w:ascii="Garamond" w:hAnsi="Garamond" w:cs="Times New Roman"/>
          <w:b/>
          <w:i/>
          <w:sz w:val="23"/>
          <w:szCs w:val="23"/>
        </w:rPr>
      </w:pPr>
      <w:bookmarkStart w:id="61" w:name="_Toc43329229"/>
      <w:bookmarkStart w:id="62" w:name="_Hlk101637548"/>
      <w:r w:rsidRPr="009263BF">
        <w:rPr>
          <w:rFonts w:ascii="Garamond" w:hAnsi="Garamond" w:cs="Times New Roman"/>
          <w:b/>
          <w:i/>
          <w:sz w:val="23"/>
          <w:szCs w:val="23"/>
        </w:rPr>
        <w:t>La Formazione</w:t>
      </w:r>
      <w:bookmarkEnd w:id="61"/>
    </w:p>
    <w:bookmarkEnd w:id="62"/>
    <w:p w14:paraId="3C033429" w14:textId="3F0E0933"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
          <w:sz w:val="23"/>
          <w:szCs w:val="23"/>
        </w:rPr>
      </w:pPr>
      <w:r w:rsidRPr="00D86DC5">
        <w:rPr>
          <w:rFonts w:ascii="Garamond" w:hAnsi="Garamond" w:cs="Times New Roman"/>
          <w:iCs/>
          <w:sz w:val="23"/>
          <w:szCs w:val="23"/>
        </w:rPr>
        <w:t xml:space="preserve">La Legge 190/2012 al comma 5, </w:t>
      </w:r>
      <w:proofErr w:type="spellStart"/>
      <w:r w:rsidRPr="00D86DC5">
        <w:rPr>
          <w:rFonts w:ascii="Garamond" w:hAnsi="Garamond" w:cs="Times New Roman"/>
          <w:iCs/>
          <w:sz w:val="23"/>
          <w:szCs w:val="23"/>
        </w:rPr>
        <w:t>lett</w:t>
      </w:r>
      <w:proofErr w:type="spellEnd"/>
      <w:r w:rsidRPr="00D86DC5">
        <w:rPr>
          <w:rFonts w:ascii="Garamond" w:hAnsi="Garamond" w:cs="Times New Roman"/>
          <w:iCs/>
          <w:sz w:val="23"/>
          <w:szCs w:val="23"/>
        </w:rPr>
        <w:t>. b recita: “</w:t>
      </w:r>
      <w:r w:rsidRPr="00D86DC5">
        <w:rPr>
          <w:rFonts w:ascii="Garamond" w:hAnsi="Garamond" w:cs="Times New Roman"/>
          <w:i/>
          <w:sz w:val="23"/>
          <w:szCs w:val="23"/>
        </w:rPr>
        <w:t>Le pubbliche amministrazioni centrali definiscono e trasmettono al Dipartimento della funzione pubblica: (…) b) procedure appropriate per selezionare e formare, in collaborazione con la Scuola superiore della pubblica amministrazione, i dipendenti chiamati ad operare in settori particolarmente esposti alla corruzione, prevedendo, negli stessi settori, la rotazione di dirigenti e funzionari”.</w:t>
      </w:r>
    </w:p>
    <w:p w14:paraId="61F4D59F" w14:textId="1BF533FD" w:rsidR="007A57AE" w:rsidRPr="002C7116"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proofErr w:type="gramStart"/>
      <w:r w:rsidRPr="00D86DC5">
        <w:rPr>
          <w:rFonts w:ascii="Garamond" w:hAnsi="Garamond" w:cs="Times New Roman"/>
          <w:iCs/>
          <w:sz w:val="23"/>
          <w:szCs w:val="23"/>
        </w:rPr>
        <w:t>Al successivi</w:t>
      </w:r>
      <w:proofErr w:type="gramEnd"/>
      <w:r w:rsidRPr="00D86DC5">
        <w:rPr>
          <w:rFonts w:ascii="Garamond" w:hAnsi="Garamond" w:cs="Times New Roman"/>
          <w:iCs/>
          <w:sz w:val="23"/>
          <w:szCs w:val="23"/>
        </w:rPr>
        <w:t xml:space="preserve"> commi 8, 10 e 11 è stabilito </w:t>
      </w:r>
      <w:r w:rsidR="002C7116">
        <w:rPr>
          <w:rFonts w:ascii="Garamond" w:hAnsi="Garamond" w:cs="Times New Roman"/>
          <w:iCs/>
          <w:sz w:val="23"/>
          <w:szCs w:val="23"/>
        </w:rPr>
        <w:t>“</w:t>
      </w:r>
      <w:r w:rsidRPr="00D86DC5">
        <w:rPr>
          <w:rFonts w:ascii="Garamond" w:hAnsi="Garamond" w:cs="Times New Roman"/>
          <w:i/>
          <w:sz w:val="23"/>
          <w:szCs w:val="23"/>
        </w:rPr>
        <w:t>(…) Il responsabile della prevenzione della corr</w:t>
      </w:r>
      <w:r w:rsidR="005A7E41">
        <w:rPr>
          <w:rFonts w:ascii="Garamond" w:hAnsi="Garamond" w:cs="Times New Roman"/>
          <w:i/>
          <w:sz w:val="23"/>
          <w:szCs w:val="23"/>
        </w:rPr>
        <w:t xml:space="preserve">uzione e della trasparenza, … </w:t>
      </w:r>
      <w:r w:rsidRPr="00D86DC5">
        <w:rPr>
          <w:rFonts w:ascii="Garamond" w:hAnsi="Garamond" w:cs="Times New Roman"/>
          <w:i/>
          <w:sz w:val="23"/>
          <w:szCs w:val="23"/>
        </w:rPr>
        <w:t>definisce procedure appropriate per selezionare e formare, ai sensi del comma 10, i dipendenti destinati ad operare in settori particolarmente esposti alla corruzione. (…) 10. Il responsabile individuato ai sensi del comma 7 provvede anche (…) c) ad individuare il personale da inserire nei programmi di formazione di cui al comma 11. 11. La Scuola superiore della pubblica amministrazione, senza nuovi o maggiori oneri per la finanza pubblica e utilizzando le risorse umane, strumentali e finanziarie disponibili a legislazione vigente, predispone percorsi, anche specifici e settoriali, di formazione dei dipendenti delle pubbliche amministrazioni statali sui t</w:t>
      </w:r>
      <w:r w:rsidR="002C7116">
        <w:rPr>
          <w:rFonts w:ascii="Garamond" w:hAnsi="Garamond" w:cs="Times New Roman"/>
          <w:i/>
          <w:sz w:val="23"/>
          <w:szCs w:val="23"/>
        </w:rPr>
        <w:t xml:space="preserve">emi dell'etica e della </w:t>
      </w:r>
      <w:r w:rsidR="002C7116" w:rsidRPr="002C7116">
        <w:rPr>
          <w:rFonts w:ascii="Garamond" w:hAnsi="Garamond" w:cs="Times New Roman"/>
          <w:i/>
          <w:sz w:val="23"/>
          <w:szCs w:val="23"/>
        </w:rPr>
        <w:t>legalità</w:t>
      </w:r>
      <w:r w:rsidR="002C7116">
        <w:rPr>
          <w:rFonts w:ascii="Garamond" w:hAnsi="Garamond" w:cs="Times New Roman"/>
          <w:sz w:val="23"/>
          <w:szCs w:val="23"/>
        </w:rPr>
        <w:t xml:space="preserve">”. </w:t>
      </w:r>
      <w:r w:rsidRPr="002C7116">
        <w:rPr>
          <w:rFonts w:ascii="Garamond" w:hAnsi="Garamond" w:cs="Times New Roman"/>
          <w:iCs/>
          <w:sz w:val="23"/>
          <w:szCs w:val="23"/>
        </w:rPr>
        <w:t>In</w:t>
      </w:r>
      <w:r w:rsidRPr="00D86DC5">
        <w:rPr>
          <w:rFonts w:ascii="Garamond" w:hAnsi="Garamond" w:cs="Times New Roman"/>
          <w:iCs/>
          <w:sz w:val="23"/>
          <w:szCs w:val="23"/>
        </w:rPr>
        <w:t xml:space="preserve"> materia di attività formative è, inoltre, necessario tenere a mente il contenuto dell’art. 15 del D.P.R. n. 62/2013, che al comma 5 dispone: </w:t>
      </w:r>
      <w:r w:rsidRPr="00D86DC5">
        <w:rPr>
          <w:rFonts w:ascii="Garamond" w:hAnsi="Garamond" w:cs="Times New Roman"/>
          <w:i/>
          <w:sz w:val="23"/>
          <w:szCs w:val="23"/>
        </w:rPr>
        <w:t>“Al personale delle pubbliche amministrazioni sono rivolte attività formative in materia di trasparenza e integrità, che consentano ai dipendenti di conseguire una piena conoscenza dei contenuti del codice di comportamento, nonché un aggiornamento annuale e sistematico sulle misure e sulle disposiz</w:t>
      </w:r>
      <w:r w:rsidR="002C7116">
        <w:rPr>
          <w:rFonts w:ascii="Garamond" w:hAnsi="Garamond" w:cs="Times New Roman"/>
          <w:i/>
          <w:sz w:val="23"/>
          <w:szCs w:val="23"/>
        </w:rPr>
        <w:t>ioni applicabili in tali ambiti</w:t>
      </w:r>
      <w:r w:rsidR="002C7116">
        <w:rPr>
          <w:rFonts w:ascii="Garamond" w:hAnsi="Garamond" w:cs="Times New Roman"/>
          <w:sz w:val="23"/>
          <w:szCs w:val="23"/>
        </w:rPr>
        <w:t>”.</w:t>
      </w:r>
    </w:p>
    <w:p w14:paraId="08B40E9B"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La </w:t>
      </w:r>
      <w:r w:rsidRPr="00D86DC5">
        <w:rPr>
          <w:rFonts w:ascii="Garamond" w:hAnsi="Garamond" w:cs="Times New Roman"/>
          <w:i/>
          <w:sz w:val="23"/>
          <w:szCs w:val="23"/>
        </w:rPr>
        <w:t>Formazione</w:t>
      </w:r>
      <w:r w:rsidRPr="00D86DC5">
        <w:rPr>
          <w:rFonts w:ascii="Garamond" w:hAnsi="Garamond" w:cs="Times New Roman"/>
          <w:iCs/>
          <w:sz w:val="23"/>
          <w:szCs w:val="23"/>
        </w:rPr>
        <w:t xml:space="preserve"> ha, dunque, una valenza strategica e centrale ribadita anche dal PNA 2019 che la qualifica come “</w:t>
      </w:r>
      <w:r w:rsidRPr="00D36837">
        <w:rPr>
          <w:rFonts w:ascii="Garamond" w:hAnsi="Garamond" w:cs="Times New Roman"/>
          <w:i/>
          <w:sz w:val="23"/>
          <w:szCs w:val="23"/>
          <w:u w:val="single"/>
        </w:rPr>
        <w:t>una misura fondamentale per garantire che sia acquisita dai dipendenti la qualità delle competenze professionali e trasversali necessarie per dare luogo alla rotazione</w:t>
      </w:r>
      <w:r w:rsidRPr="00D86DC5">
        <w:rPr>
          <w:rFonts w:ascii="Garamond" w:hAnsi="Garamond" w:cs="Times New Roman"/>
          <w:i/>
          <w:sz w:val="23"/>
          <w:szCs w:val="23"/>
        </w:rPr>
        <w:t>”.</w:t>
      </w:r>
      <w:r w:rsidRPr="00D86DC5">
        <w:rPr>
          <w:rFonts w:ascii="Garamond" w:hAnsi="Garamond" w:cs="Times New Roman"/>
          <w:iCs/>
          <w:sz w:val="23"/>
          <w:szCs w:val="23"/>
        </w:rPr>
        <w:t xml:space="preserve"> </w:t>
      </w:r>
    </w:p>
    <w:p w14:paraId="7EA0FB9D"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Una formazione di buon livello in una pluralità di ambiti operativi può contribuire a rendere il personale più flessibile e impiegabile in diverse attività, instaurando un processo di pianificazione volto a rendere fungibili le competenze, che possano porre le basi per agevolare, nel lungo periodo, il processo di rotazione. </w:t>
      </w:r>
    </w:p>
    <w:p w14:paraId="00E1B5CB"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Nel PNA 2019, inoltre, l’ANAC riafferma la centralità della formazione in materia di etica, integrità ed altre tematiche inerenti al rischio corruttivo, auspicando un cambiamento radicale nella sua programmazione e attuazione, affinché sia sempre più orientata </w:t>
      </w:r>
      <w:r w:rsidRPr="00D86DC5">
        <w:rPr>
          <w:rFonts w:ascii="Garamond" w:hAnsi="Garamond" w:cs="Times New Roman"/>
          <w:i/>
          <w:sz w:val="23"/>
          <w:szCs w:val="23"/>
        </w:rPr>
        <w:t>all’esame di casi concreti</w:t>
      </w:r>
      <w:r w:rsidRPr="00D86DC5">
        <w:rPr>
          <w:rFonts w:ascii="Garamond" w:hAnsi="Garamond" w:cs="Times New Roman"/>
          <w:iCs/>
          <w:sz w:val="23"/>
          <w:szCs w:val="23"/>
        </w:rPr>
        <w:t xml:space="preserve"> calati nel contesto delle diverse amministrazioni e favorisca la crescita di competenze tecniche e comportamentali dei dipendenti pubblici in materia di prevenzione della corruzione.</w:t>
      </w:r>
    </w:p>
    <w:p w14:paraId="6E07D4AE"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L’Autorità ha ulteriormente chiarito che la formazione riveste un ruolo strategico nella prevenzione della corruzione e deve essere rivolta al personale dipendente, prevedendo due livelli differenziati: </w:t>
      </w:r>
    </w:p>
    <w:p w14:paraId="3D77104C"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a) </w:t>
      </w:r>
      <w:r w:rsidRPr="00D86DC5">
        <w:rPr>
          <w:rFonts w:ascii="Garamond" w:hAnsi="Garamond" w:cs="Times New Roman"/>
          <w:i/>
          <w:sz w:val="23"/>
          <w:szCs w:val="23"/>
        </w:rPr>
        <w:t>livello generale</w:t>
      </w:r>
      <w:r w:rsidRPr="00D86DC5">
        <w:rPr>
          <w:rFonts w:ascii="Garamond" w:hAnsi="Garamond" w:cs="Times New Roman"/>
          <w:iCs/>
          <w:sz w:val="23"/>
          <w:szCs w:val="23"/>
        </w:rPr>
        <w:t xml:space="preserve">, rivolto a tutti i dipendenti, riguardante l’aggiornamento delle competenze e le tematiche dell’etica e della legalità; </w:t>
      </w:r>
    </w:p>
    <w:p w14:paraId="1BB90702"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 xml:space="preserve">b) </w:t>
      </w:r>
      <w:r w:rsidRPr="00D86DC5">
        <w:rPr>
          <w:rFonts w:ascii="Garamond" w:hAnsi="Garamond" w:cs="Times New Roman"/>
          <w:i/>
          <w:sz w:val="23"/>
          <w:szCs w:val="23"/>
        </w:rPr>
        <w:t>livello specifico</w:t>
      </w:r>
      <w:r w:rsidRPr="00D86DC5">
        <w:rPr>
          <w:rFonts w:ascii="Garamond" w:hAnsi="Garamond" w:cs="Times New Roman"/>
          <w:iCs/>
          <w:sz w:val="23"/>
          <w:szCs w:val="23"/>
        </w:rPr>
        <w:t xml:space="preserve">, rivolto al responsabile della prevenzione, ai referenti, ai componenti degli organismi di controllo, ai dirigenti e funzionari addetti alle aree di rischio. </w:t>
      </w:r>
    </w:p>
    <w:p w14:paraId="244E9193" w14:textId="77777777" w:rsidR="007A57AE" w:rsidRPr="00D86DC5" w:rsidRDefault="007A57AE"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86DC5">
        <w:rPr>
          <w:rFonts w:ascii="Garamond" w:hAnsi="Garamond" w:cs="Times New Roman"/>
          <w:iCs/>
          <w:sz w:val="23"/>
          <w:szCs w:val="23"/>
        </w:rPr>
        <w:t>In questo caso la formazione dovrà riguardare le politiche, i programmi e i vari strumenti utilizzati per la prevenzione e tematiche settoriali, in relazione al ruolo svolto da ciascun soggetto dell’amministrazione.</w:t>
      </w:r>
    </w:p>
    <w:p w14:paraId="3385E780" w14:textId="14E3DBCA" w:rsidR="00D90382" w:rsidRPr="00766A20" w:rsidRDefault="00D90382" w:rsidP="00D90382">
      <w:pPr>
        <w:tabs>
          <w:tab w:val="left" w:pos="9354"/>
        </w:tabs>
        <w:autoSpaceDE w:val="0"/>
        <w:autoSpaceDN w:val="0"/>
        <w:adjustRightInd w:val="0"/>
        <w:spacing w:after="0" w:line="276" w:lineRule="auto"/>
        <w:ind w:right="-1"/>
        <w:jc w:val="both"/>
        <w:rPr>
          <w:rFonts w:ascii="Garamond" w:hAnsi="Garamond" w:cs="Times New Roman"/>
          <w:sz w:val="23"/>
          <w:szCs w:val="23"/>
        </w:rPr>
      </w:pPr>
      <w:r w:rsidRPr="00766A20">
        <w:rPr>
          <w:rFonts w:ascii="Garamond" w:hAnsi="Garamond" w:cs="Times New Roman"/>
          <w:sz w:val="23"/>
          <w:szCs w:val="23"/>
        </w:rPr>
        <w:t>Nel corso del 2022 sono state effettuate n. 3 giornate formative a cura del RPCT e dei funzionari degli Uffici a supporto del medesimo RPCT a cui sono stati in</w:t>
      </w:r>
      <w:r w:rsidR="00766A20" w:rsidRPr="00766A20">
        <w:rPr>
          <w:rFonts w:ascii="Garamond" w:hAnsi="Garamond" w:cs="Times New Roman"/>
          <w:sz w:val="23"/>
          <w:szCs w:val="23"/>
        </w:rPr>
        <w:t xml:space="preserve">vitati i Direttori, i Dirigenti, </w:t>
      </w:r>
      <w:r w:rsidRPr="00766A20">
        <w:rPr>
          <w:rFonts w:ascii="Garamond" w:hAnsi="Garamond" w:cs="Times New Roman"/>
          <w:sz w:val="23"/>
          <w:szCs w:val="23"/>
        </w:rPr>
        <w:t xml:space="preserve">i Referenti del RPCT individuati dai Dipartimenti/Servizi autonomi regionali </w:t>
      </w:r>
      <w:r w:rsidR="00766A20" w:rsidRPr="00766A20">
        <w:rPr>
          <w:rFonts w:ascii="Garamond" w:hAnsi="Garamond" w:cs="Times New Roman"/>
          <w:sz w:val="23"/>
          <w:szCs w:val="23"/>
        </w:rPr>
        <w:t xml:space="preserve">e, in generale, tutto </w:t>
      </w:r>
      <w:r w:rsidRPr="00766A20">
        <w:rPr>
          <w:rFonts w:ascii="Garamond" w:hAnsi="Garamond" w:cs="Times New Roman"/>
          <w:sz w:val="23"/>
          <w:szCs w:val="23"/>
        </w:rPr>
        <w:t xml:space="preserve">il personale </w:t>
      </w:r>
      <w:r w:rsidR="00766A20" w:rsidRPr="00766A20">
        <w:rPr>
          <w:rFonts w:ascii="Garamond" w:hAnsi="Garamond" w:cs="Times New Roman"/>
          <w:sz w:val="23"/>
          <w:szCs w:val="23"/>
        </w:rPr>
        <w:t xml:space="preserve">coinvolto </w:t>
      </w:r>
      <w:r w:rsidRPr="00766A20">
        <w:rPr>
          <w:rFonts w:ascii="Garamond" w:hAnsi="Garamond" w:cs="Times New Roman"/>
          <w:sz w:val="23"/>
          <w:szCs w:val="23"/>
        </w:rPr>
        <w:t>d</w:t>
      </w:r>
      <w:r w:rsidR="00766A20" w:rsidRPr="00766A20">
        <w:rPr>
          <w:rFonts w:ascii="Garamond" w:hAnsi="Garamond" w:cs="Times New Roman"/>
          <w:sz w:val="23"/>
          <w:szCs w:val="23"/>
        </w:rPr>
        <w:t>a</w:t>
      </w:r>
      <w:r w:rsidRPr="00766A20">
        <w:rPr>
          <w:rFonts w:ascii="Garamond" w:hAnsi="Garamond" w:cs="Times New Roman"/>
          <w:sz w:val="23"/>
          <w:szCs w:val="23"/>
        </w:rPr>
        <w:t xml:space="preserve">lle medesime </w:t>
      </w:r>
      <w:r w:rsidRPr="00766A20">
        <w:rPr>
          <w:rFonts w:ascii="Garamond" w:hAnsi="Garamond" w:cs="Times New Roman"/>
          <w:sz w:val="23"/>
          <w:szCs w:val="23"/>
        </w:rPr>
        <w:lastRenderedPageBreak/>
        <w:t xml:space="preserve">strutture. </w:t>
      </w:r>
      <w:r w:rsidR="00DB23D4" w:rsidRPr="00766A20">
        <w:rPr>
          <w:rFonts w:ascii="Garamond" w:hAnsi="Garamond" w:cs="Times New Roman"/>
          <w:sz w:val="23"/>
          <w:szCs w:val="23"/>
        </w:rPr>
        <w:t>I</w:t>
      </w:r>
      <w:r w:rsidRPr="00766A20">
        <w:rPr>
          <w:rFonts w:ascii="Garamond" w:hAnsi="Garamond" w:cs="Times New Roman"/>
          <w:sz w:val="23"/>
          <w:szCs w:val="23"/>
        </w:rPr>
        <w:t xml:space="preserve"> contenuti</w:t>
      </w:r>
      <w:r w:rsidR="00DB23D4" w:rsidRPr="00766A20">
        <w:rPr>
          <w:rFonts w:ascii="Garamond" w:hAnsi="Garamond" w:cs="Times New Roman"/>
          <w:sz w:val="23"/>
          <w:szCs w:val="23"/>
        </w:rPr>
        <w:t xml:space="preserve"> delle giornate formative</w:t>
      </w:r>
      <w:r w:rsidRPr="00766A20">
        <w:rPr>
          <w:rFonts w:ascii="Garamond" w:hAnsi="Garamond" w:cs="Times New Roman"/>
          <w:sz w:val="23"/>
          <w:szCs w:val="23"/>
        </w:rPr>
        <w:t xml:space="preserve"> sono stati individuati sulla base delle criticità emerse in fase di monitoraggio degli adempimenti. In particolare sono stati trattati i temi della rotazione ordinaria, del supporto al RPCT, del conferimento e autorizzazione degli incarichi, della </w:t>
      </w:r>
      <w:proofErr w:type="spellStart"/>
      <w:r w:rsidRPr="00766A20">
        <w:rPr>
          <w:rFonts w:ascii="Garamond" w:hAnsi="Garamond" w:cs="Times New Roman"/>
          <w:sz w:val="23"/>
          <w:szCs w:val="23"/>
        </w:rPr>
        <w:t>inconferibilità</w:t>
      </w:r>
      <w:proofErr w:type="spellEnd"/>
      <w:r w:rsidRPr="00766A20">
        <w:rPr>
          <w:rFonts w:ascii="Garamond" w:hAnsi="Garamond" w:cs="Times New Roman"/>
          <w:sz w:val="23"/>
          <w:szCs w:val="23"/>
        </w:rPr>
        <w:t xml:space="preserve"> ed incompatibilità degli incarichi, della formazione di commissioni, assegnazioni agli uffici, conferimento di incarichi dirigenziali in caso di condanna penale per delitti contro la pubblica amministrazione, del </w:t>
      </w:r>
      <w:proofErr w:type="spellStart"/>
      <w:r w:rsidRPr="00766A20">
        <w:rPr>
          <w:rFonts w:ascii="Garamond" w:hAnsi="Garamond" w:cs="Times New Roman"/>
          <w:sz w:val="23"/>
          <w:szCs w:val="23"/>
        </w:rPr>
        <w:t>whistleblowing</w:t>
      </w:r>
      <w:proofErr w:type="spellEnd"/>
      <w:r w:rsidRPr="00766A20">
        <w:rPr>
          <w:rFonts w:ascii="Garamond" w:hAnsi="Garamond" w:cs="Times New Roman"/>
          <w:sz w:val="23"/>
          <w:szCs w:val="23"/>
        </w:rPr>
        <w:t>, del monitoraggio delle misure di prevenzione della corruzione e p</w:t>
      </w:r>
      <w:r w:rsidR="00DB23D4" w:rsidRPr="00766A20">
        <w:rPr>
          <w:rFonts w:ascii="Garamond" w:hAnsi="Garamond" w:cs="Times New Roman"/>
          <w:sz w:val="23"/>
          <w:szCs w:val="23"/>
        </w:rPr>
        <w:t>romozione della trasparenza, del</w:t>
      </w:r>
      <w:r w:rsidRPr="00766A20">
        <w:rPr>
          <w:rFonts w:ascii="Garamond" w:hAnsi="Garamond" w:cs="Times New Roman"/>
          <w:sz w:val="23"/>
          <w:szCs w:val="23"/>
        </w:rPr>
        <w:t>l’adempimento degli obblighi di</w:t>
      </w:r>
      <w:r w:rsidR="00DB23D4" w:rsidRPr="00766A20">
        <w:rPr>
          <w:rFonts w:ascii="Garamond" w:hAnsi="Garamond" w:cs="Times New Roman"/>
          <w:sz w:val="23"/>
          <w:szCs w:val="23"/>
        </w:rPr>
        <w:t xml:space="preserve"> </w:t>
      </w:r>
      <w:r w:rsidRPr="00766A20">
        <w:rPr>
          <w:rFonts w:ascii="Garamond" w:hAnsi="Garamond" w:cs="Times New Roman"/>
          <w:sz w:val="23"/>
          <w:szCs w:val="23"/>
        </w:rPr>
        <w:t>trasparenza</w:t>
      </w:r>
      <w:r w:rsidR="00DB23D4" w:rsidRPr="00766A20">
        <w:rPr>
          <w:rFonts w:ascii="Garamond" w:hAnsi="Garamond" w:cs="Times New Roman"/>
          <w:sz w:val="23"/>
          <w:szCs w:val="23"/>
        </w:rPr>
        <w:t>,</w:t>
      </w:r>
      <w:r w:rsidRPr="00766A20">
        <w:rPr>
          <w:rFonts w:ascii="Garamond" w:hAnsi="Garamond" w:cs="Times New Roman"/>
          <w:sz w:val="23"/>
          <w:szCs w:val="23"/>
        </w:rPr>
        <w:t xml:space="preserve"> </w:t>
      </w:r>
      <w:r w:rsidR="00DB23D4" w:rsidRPr="00766A20">
        <w:rPr>
          <w:rFonts w:ascii="Garamond" w:hAnsi="Garamond" w:cs="Times New Roman"/>
          <w:sz w:val="23"/>
          <w:szCs w:val="23"/>
        </w:rPr>
        <w:t>della</w:t>
      </w:r>
      <w:r w:rsidRPr="00766A20">
        <w:rPr>
          <w:rFonts w:ascii="Garamond" w:hAnsi="Garamond" w:cs="Times New Roman"/>
          <w:sz w:val="23"/>
          <w:szCs w:val="23"/>
        </w:rPr>
        <w:t xml:space="preserve"> tutela dei dati personali, </w:t>
      </w:r>
      <w:r w:rsidR="00DB23D4" w:rsidRPr="00766A20">
        <w:rPr>
          <w:rFonts w:ascii="Garamond" w:hAnsi="Garamond" w:cs="Times New Roman"/>
          <w:sz w:val="23"/>
          <w:szCs w:val="23"/>
        </w:rPr>
        <w:t>e dell</w:t>
      </w:r>
      <w:r w:rsidRPr="00766A20">
        <w:rPr>
          <w:rFonts w:ascii="Garamond" w:hAnsi="Garamond" w:cs="Times New Roman"/>
          <w:sz w:val="23"/>
          <w:szCs w:val="23"/>
        </w:rPr>
        <w:t>a regolarità dell’agire</w:t>
      </w:r>
      <w:r w:rsidR="00DB23D4" w:rsidRPr="00766A20">
        <w:rPr>
          <w:rFonts w:ascii="Garamond" w:hAnsi="Garamond" w:cs="Times New Roman"/>
          <w:sz w:val="23"/>
          <w:szCs w:val="23"/>
        </w:rPr>
        <w:t xml:space="preserve"> </w:t>
      </w:r>
      <w:r w:rsidRPr="00766A20">
        <w:rPr>
          <w:rFonts w:ascii="Garamond" w:hAnsi="Garamond" w:cs="Times New Roman"/>
          <w:sz w:val="23"/>
          <w:szCs w:val="23"/>
        </w:rPr>
        <w:t>amministrativo.</w:t>
      </w:r>
      <w:r w:rsidR="00766A20" w:rsidRPr="00766A20">
        <w:rPr>
          <w:rFonts w:ascii="Garamond" w:hAnsi="Garamond" w:cs="Times New Roman"/>
          <w:sz w:val="23"/>
          <w:szCs w:val="23"/>
        </w:rPr>
        <w:t xml:space="preserve"> Come segnalato nella relazione annuale del RPCT, pur nell'appropriatezza dei destinatari e dei contenuti della formazione interna effettuata, si conferma l'esigenza di una formazione specialistica e continuativa qualificata quantomeno per il personale a supporto del RPCT, ivi inclusi i Referenti.</w:t>
      </w:r>
    </w:p>
    <w:p w14:paraId="51726568" w14:textId="7CADC3C4" w:rsidR="007A57AE" w:rsidRPr="00D86DC5" w:rsidRDefault="004A313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Pr>
          <w:rFonts w:ascii="Garamond" w:hAnsi="Garamond" w:cs="Times New Roman"/>
          <w:sz w:val="23"/>
          <w:szCs w:val="23"/>
        </w:rPr>
        <w:t xml:space="preserve">Nel corso del triennio </w:t>
      </w:r>
      <w:r w:rsidRPr="00766A20">
        <w:rPr>
          <w:rFonts w:ascii="Garamond" w:hAnsi="Garamond" w:cs="Times New Roman"/>
          <w:sz w:val="23"/>
          <w:szCs w:val="23"/>
        </w:rPr>
        <w:t>202</w:t>
      </w:r>
      <w:r w:rsidR="00D90382" w:rsidRPr="00766A20">
        <w:rPr>
          <w:rFonts w:ascii="Garamond" w:hAnsi="Garamond" w:cs="Times New Roman"/>
          <w:sz w:val="23"/>
          <w:szCs w:val="23"/>
        </w:rPr>
        <w:t>3</w:t>
      </w:r>
      <w:r w:rsidRPr="00766A20">
        <w:rPr>
          <w:rFonts w:ascii="Garamond" w:hAnsi="Garamond" w:cs="Times New Roman"/>
          <w:sz w:val="23"/>
          <w:szCs w:val="23"/>
        </w:rPr>
        <w:t>/202</w:t>
      </w:r>
      <w:r w:rsidR="00D90382" w:rsidRPr="00766A20">
        <w:rPr>
          <w:rFonts w:ascii="Garamond" w:hAnsi="Garamond" w:cs="Times New Roman"/>
          <w:sz w:val="23"/>
          <w:szCs w:val="23"/>
        </w:rPr>
        <w:t>5</w:t>
      </w:r>
      <w:r w:rsidR="007A57AE" w:rsidRPr="00D86DC5">
        <w:rPr>
          <w:rFonts w:ascii="Garamond" w:hAnsi="Garamond" w:cs="Times New Roman"/>
          <w:sz w:val="23"/>
          <w:szCs w:val="23"/>
        </w:rPr>
        <w:t xml:space="preserve"> l’obiettivo </w:t>
      </w:r>
      <w:r>
        <w:rPr>
          <w:rFonts w:ascii="Garamond" w:hAnsi="Garamond" w:cs="Times New Roman"/>
          <w:sz w:val="23"/>
          <w:szCs w:val="23"/>
        </w:rPr>
        <w:t>resta</w:t>
      </w:r>
      <w:r w:rsidR="007A57AE" w:rsidRPr="00D86DC5">
        <w:rPr>
          <w:rFonts w:ascii="Garamond" w:hAnsi="Garamond" w:cs="Times New Roman"/>
          <w:sz w:val="23"/>
          <w:szCs w:val="23"/>
        </w:rPr>
        <w:t xml:space="preserve"> quello di stimolare l’amministrazione ad investire risorse per l’attuazione di un programma formativo del personale, che tenga conto dell’evoluzione </w:t>
      </w:r>
      <w:r w:rsidR="00311079">
        <w:rPr>
          <w:rFonts w:ascii="Garamond" w:hAnsi="Garamond" w:cs="Times New Roman"/>
          <w:sz w:val="23"/>
          <w:szCs w:val="23"/>
        </w:rPr>
        <w:t>normativa generale e delle modifiche organizzative</w:t>
      </w:r>
      <w:r w:rsidR="007A57AE" w:rsidRPr="00D86DC5">
        <w:rPr>
          <w:rFonts w:ascii="Garamond" w:hAnsi="Garamond" w:cs="Times New Roman"/>
          <w:sz w:val="23"/>
          <w:szCs w:val="23"/>
        </w:rPr>
        <w:t xml:space="preserve"> dell'Ente.</w:t>
      </w:r>
    </w:p>
    <w:p w14:paraId="78CF9DBE" w14:textId="07CFEBAD" w:rsidR="007A57AE" w:rsidRPr="00311079" w:rsidRDefault="00020F7B"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L</w:t>
      </w:r>
      <w:r w:rsidR="007A57AE" w:rsidRPr="00D86DC5">
        <w:rPr>
          <w:rFonts w:ascii="Garamond" w:hAnsi="Garamond" w:cs="Times New Roman"/>
          <w:sz w:val="23"/>
          <w:szCs w:val="23"/>
        </w:rPr>
        <w:t xml:space="preserve">e attività formative </w:t>
      </w:r>
      <w:r w:rsidRPr="00D86DC5">
        <w:rPr>
          <w:rFonts w:ascii="Garamond" w:hAnsi="Garamond" w:cs="Times New Roman"/>
          <w:sz w:val="23"/>
          <w:szCs w:val="23"/>
        </w:rPr>
        <w:t>dovranno essere concentrate</w:t>
      </w:r>
      <w:r w:rsidR="007A57AE" w:rsidRPr="00D86DC5">
        <w:rPr>
          <w:rFonts w:ascii="Garamond" w:hAnsi="Garamond" w:cs="Times New Roman"/>
          <w:sz w:val="23"/>
          <w:szCs w:val="23"/>
        </w:rPr>
        <w:t xml:space="preserve">, dunque, sia sulle conoscenze specifiche, relative ai diversi ambiti professionali presenti nell’amministrazione, sia sulle competenze trasversali e dovranno integrarsi con quelle </w:t>
      </w:r>
      <w:r w:rsidR="00311079">
        <w:rPr>
          <w:rFonts w:ascii="Garamond" w:hAnsi="Garamond" w:cs="Times New Roman"/>
          <w:sz w:val="23"/>
          <w:szCs w:val="23"/>
        </w:rPr>
        <w:t xml:space="preserve">obbligatorie per </w:t>
      </w:r>
      <w:r w:rsidR="007A57AE" w:rsidRPr="00D86DC5">
        <w:rPr>
          <w:rFonts w:ascii="Garamond" w:hAnsi="Garamond" w:cs="Times New Roman"/>
          <w:sz w:val="23"/>
          <w:szCs w:val="23"/>
        </w:rPr>
        <w:t xml:space="preserve">legge, </w:t>
      </w:r>
      <w:r w:rsidR="00311079">
        <w:rPr>
          <w:rFonts w:ascii="Garamond" w:hAnsi="Garamond" w:cs="Times New Roman"/>
          <w:sz w:val="23"/>
          <w:szCs w:val="23"/>
        </w:rPr>
        <w:t xml:space="preserve">quali </w:t>
      </w:r>
      <w:r w:rsidR="00311079" w:rsidRPr="00311079">
        <w:rPr>
          <w:rFonts w:ascii="Garamond" w:hAnsi="Garamond" w:cs="Times New Roman"/>
          <w:sz w:val="23"/>
          <w:szCs w:val="23"/>
        </w:rPr>
        <w:t>Anticorruzione</w:t>
      </w:r>
      <w:r w:rsidR="00311079">
        <w:rPr>
          <w:rFonts w:ascii="Garamond" w:hAnsi="Garamond" w:cs="Times New Roman"/>
          <w:sz w:val="23"/>
          <w:szCs w:val="23"/>
        </w:rPr>
        <w:t>,</w:t>
      </w:r>
      <w:r w:rsidR="00311079" w:rsidRPr="00311079">
        <w:rPr>
          <w:rFonts w:ascii="Garamond" w:hAnsi="Garamond" w:cs="Times New Roman"/>
          <w:sz w:val="23"/>
          <w:szCs w:val="23"/>
        </w:rPr>
        <w:t xml:space="preserve"> </w:t>
      </w:r>
      <w:r w:rsidR="007A57AE" w:rsidRPr="00311079">
        <w:rPr>
          <w:rFonts w:ascii="Garamond" w:hAnsi="Garamond" w:cs="Times New Roman"/>
          <w:sz w:val="23"/>
          <w:szCs w:val="23"/>
        </w:rPr>
        <w:t>Trasparenza</w:t>
      </w:r>
      <w:r w:rsidR="00620582" w:rsidRPr="00311079">
        <w:rPr>
          <w:rFonts w:ascii="Garamond" w:hAnsi="Garamond" w:cs="Times New Roman"/>
          <w:sz w:val="23"/>
          <w:szCs w:val="23"/>
        </w:rPr>
        <w:t>,</w:t>
      </w:r>
      <w:r w:rsidR="007A57AE" w:rsidRPr="00311079">
        <w:rPr>
          <w:rFonts w:ascii="Garamond" w:hAnsi="Garamond" w:cs="Times New Roman"/>
          <w:sz w:val="23"/>
          <w:szCs w:val="23"/>
        </w:rPr>
        <w:t xml:space="preserve"> </w:t>
      </w:r>
      <w:r w:rsidR="00311079">
        <w:rPr>
          <w:rFonts w:ascii="Garamond" w:hAnsi="Garamond" w:cs="Times New Roman"/>
          <w:sz w:val="23"/>
          <w:szCs w:val="23"/>
        </w:rPr>
        <w:t>Tutela dei Dati.</w:t>
      </w:r>
      <w:r w:rsidR="007A57AE" w:rsidRPr="00311079">
        <w:rPr>
          <w:rFonts w:ascii="Garamond" w:hAnsi="Garamond" w:cs="Times New Roman"/>
          <w:sz w:val="23"/>
          <w:szCs w:val="23"/>
        </w:rPr>
        <w:t xml:space="preserve"> </w:t>
      </w:r>
    </w:p>
    <w:p w14:paraId="4510FBFB" w14:textId="7A42879E" w:rsidR="007A57AE" w:rsidRDefault="007A57AE"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La formazione </w:t>
      </w:r>
      <w:r w:rsidR="001344A2">
        <w:rPr>
          <w:rFonts w:ascii="Garamond" w:hAnsi="Garamond" w:cs="Times New Roman"/>
          <w:sz w:val="23"/>
          <w:szCs w:val="23"/>
        </w:rPr>
        <w:t>deve</w:t>
      </w:r>
      <w:r w:rsidR="00620582" w:rsidRPr="001344A2">
        <w:rPr>
          <w:rFonts w:ascii="Garamond" w:hAnsi="Garamond" w:cs="Times New Roman"/>
          <w:sz w:val="23"/>
          <w:szCs w:val="23"/>
        </w:rPr>
        <w:t xml:space="preserve"> essere</w:t>
      </w:r>
      <w:r w:rsidRPr="00D86DC5">
        <w:rPr>
          <w:rFonts w:ascii="Garamond" w:hAnsi="Garamond" w:cs="Times New Roman"/>
          <w:sz w:val="23"/>
          <w:szCs w:val="23"/>
        </w:rPr>
        <w:t xml:space="preserve"> adeguatamente pianificata e programmata, in modo da garantire la massima diffusione e partecipazione da parte dei dipendenti.</w:t>
      </w:r>
    </w:p>
    <w:p w14:paraId="6559A14C" w14:textId="26C5BB1B" w:rsidR="00D36837" w:rsidRDefault="00D36837" w:rsidP="00582EFE">
      <w:pPr>
        <w:tabs>
          <w:tab w:val="left" w:pos="9354"/>
        </w:tabs>
        <w:autoSpaceDE w:val="0"/>
        <w:autoSpaceDN w:val="0"/>
        <w:adjustRightInd w:val="0"/>
        <w:spacing w:after="0" w:line="276" w:lineRule="auto"/>
        <w:ind w:right="-1"/>
        <w:jc w:val="both"/>
        <w:rPr>
          <w:rFonts w:ascii="Garamond" w:hAnsi="Garamond" w:cs="Times New Roman"/>
          <w:sz w:val="23"/>
          <w:szCs w:val="23"/>
        </w:rPr>
      </w:pPr>
      <w:r>
        <w:rPr>
          <w:rFonts w:ascii="Garamond" w:hAnsi="Garamond" w:cs="Times New Roman"/>
          <w:sz w:val="23"/>
          <w:szCs w:val="23"/>
        </w:rPr>
        <w:t xml:space="preserve">L’Amministrazione regionale </w:t>
      </w:r>
      <w:r w:rsidR="007550DD">
        <w:rPr>
          <w:rFonts w:ascii="Garamond" w:hAnsi="Garamond" w:cs="Times New Roman"/>
          <w:sz w:val="23"/>
          <w:szCs w:val="23"/>
        </w:rPr>
        <w:t>deve garantire attività</w:t>
      </w:r>
      <w:r>
        <w:rPr>
          <w:rFonts w:ascii="Garamond" w:hAnsi="Garamond" w:cs="Times New Roman"/>
          <w:sz w:val="23"/>
          <w:szCs w:val="23"/>
        </w:rPr>
        <w:t xml:space="preserve"> di formazione dei dipendenti, </w:t>
      </w:r>
      <w:r w:rsidR="007550DD">
        <w:rPr>
          <w:rFonts w:ascii="Garamond" w:hAnsi="Garamond" w:cs="Times New Roman"/>
          <w:sz w:val="23"/>
          <w:szCs w:val="23"/>
        </w:rPr>
        <w:t xml:space="preserve">come stabilito </w:t>
      </w:r>
      <w:r>
        <w:rPr>
          <w:rFonts w:ascii="Garamond" w:hAnsi="Garamond" w:cs="Times New Roman"/>
          <w:sz w:val="23"/>
          <w:szCs w:val="23"/>
        </w:rPr>
        <w:t xml:space="preserve">peraltro anche </w:t>
      </w:r>
      <w:r w:rsidR="007550DD">
        <w:rPr>
          <w:rFonts w:ascii="Garamond" w:hAnsi="Garamond" w:cs="Times New Roman"/>
          <w:sz w:val="23"/>
          <w:szCs w:val="23"/>
        </w:rPr>
        <w:t>dai</w:t>
      </w:r>
      <w:r>
        <w:rPr>
          <w:rFonts w:ascii="Garamond" w:hAnsi="Garamond" w:cs="Times New Roman"/>
          <w:sz w:val="23"/>
          <w:szCs w:val="23"/>
        </w:rPr>
        <w:t xml:space="preserve"> Contratti Collettivi Nazionali – Funzioni </w:t>
      </w:r>
      <w:r w:rsidR="007550DD">
        <w:rPr>
          <w:rFonts w:ascii="Garamond" w:hAnsi="Garamond" w:cs="Times New Roman"/>
          <w:sz w:val="23"/>
          <w:szCs w:val="23"/>
        </w:rPr>
        <w:t>Locali che obbligano a destinare a ciò risorse finanziarie; l’assenza di idonee attività formative può determinare di per sé un depotenziamento del</w:t>
      </w:r>
      <w:r>
        <w:rPr>
          <w:rFonts w:ascii="Garamond" w:hAnsi="Garamond" w:cs="Times New Roman"/>
          <w:sz w:val="23"/>
          <w:szCs w:val="23"/>
        </w:rPr>
        <w:t>la misura della rotazione ordinaria dei dirigenti e dei funzionari, che rappresenta invece un cardine della prevenzione dei comportamenti corruttivi</w:t>
      </w:r>
      <w:r w:rsidR="00D15D4C">
        <w:rPr>
          <w:rFonts w:ascii="Garamond" w:hAnsi="Garamond" w:cs="Times New Roman"/>
          <w:sz w:val="23"/>
          <w:szCs w:val="23"/>
        </w:rPr>
        <w:t xml:space="preserve">, </w:t>
      </w:r>
      <w:r w:rsidR="007550DD">
        <w:rPr>
          <w:rFonts w:ascii="Garamond" w:hAnsi="Garamond" w:cs="Times New Roman"/>
          <w:sz w:val="23"/>
          <w:szCs w:val="23"/>
        </w:rPr>
        <w:t xml:space="preserve">che deve </w:t>
      </w:r>
      <w:r w:rsidR="00D15D4C">
        <w:rPr>
          <w:rFonts w:ascii="Garamond" w:hAnsi="Garamond" w:cs="Times New Roman"/>
          <w:sz w:val="23"/>
          <w:szCs w:val="23"/>
        </w:rPr>
        <w:t xml:space="preserve">invece </w:t>
      </w:r>
      <w:r w:rsidR="007550DD">
        <w:rPr>
          <w:rFonts w:ascii="Garamond" w:hAnsi="Garamond" w:cs="Times New Roman"/>
          <w:sz w:val="23"/>
          <w:szCs w:val="23"/>
        </w:rPr>
        <w:t xml:space="preserve">essere </w:t>
      </w:r>
      <w:r w:rsidR="00D15D4C">
        <w:rPr>
          <w:rFonts w:ascii="Garamond" w:hAnsi="Garamond" w:cs="Times New Roman"/>
          <w:sz w:val="23"/>
          <w:szCs w:val="23"/>
        </w:rPr>
        <w:t xml:space="preserve">pienamente attuata e </w:t>
      </w:r>
      <w:r w:rsidR="007550DD">
        <w:rPr>
          <w:rFonts w:ascii="Garamond" w:hAnsi="Garamond" w:cs="Times New Roman"/>
          <w:sz w:val="23"/>
          <w:szCs w:val="23"/>
        </w:rPr>
        <w:t>resa possibile senza decremento dell’efficacia e dell’efficienza dell’attività amministrativa</w:t>
      </w:r>
      <w:r>
        <w:rPr>
          <w:rFonts w:ascii="Garamond" w:hAnsi="Garamond" w:cs="Times New Roman"/>
          <w:sz w:val="23"/>
          <w:szCs w:val="23"/>
        </w:rPr>
        <w:t>.</w:t>
      </w:r>
    </w:p>
    <w:p w14:paraId="0AA7CE35" w14:textId="77777777" w:rsidR="008C5D06" w:rsidRDefault="008C5D06" w:rsidP="00582EFE">
      <w:pPr>
        <w:tabs>
          <w:tab w:val="left" w:pos="9354"/>
        </w:tabs>
        <w:autoSpaceDE w:val="0"/>
        <w:autoSpaceDN w:val="0"/>
        <w:adjustRightInd w:val="0"/>
        <w:spacing w:after="0" w:line="276" w:lineRule="auto"/>
        <w:ind w:right="-1"/>
        <w:jc w:val="both"/>
        <w:rPr>
          <w:rFonts w:ascii="Garamond" w:hAnsi="Garamond" w:cs="Times New Roman"/>
          <w:sz w:val="23"/>
          <w:szCs w:val="23"/>
        </w:rPr>
      </w:pPr>
    </w:p>
    <w:p w14:paraId="66BFA6AD" w14:textId="2F414ABB" w:rsidR="00F50665" w:rsidRPr="001344A2" w:rsidRDefault="00F50665" w:rsidP="00582EFE">
      <w:pPr>
        <w:spacing w:after="0" w:line="276" w:lineRule="auto"/>
        <w:ind w:right="-1"/>
        <w:jc w:val="both"/>
        <w:rPr>
          <w:rFonts w:ascii="Garamond" w:hAnsi="Garamond" w:cs="Times New Roman"/>
          <w:b/>
          <w:i/>
          <w:sz w:val="23"/>
          <w:szCs w:val="23"/>
        </w:rPr>
      </w:pPr>
      <w:r w:rsidRPr="001344A2">
        <w:rPr>
          <w:rFonts w:ascii="Garamond" w:hAnsi="Garamond" w:cs="Times New Roman"/>
          <w:b/>
          <w:i/>
          <w:sz w:val="23"/>
          <w:szCs w:val="23"/>
        </w:rPr>
        <w:t>I controlli di regolarità amministrativa</w:t>
      </w:r>
    </w:p>
    <w:p w14:paraId="616A385A" w14:textId="77777777" w:rsidR="00F50665" w:rsidRPr="001344A2" w:rsidRDefault="00F50665" w:rsidP="00582EFE">
      <w:pPr>
        <w:spacing w:after="0" w:line="276" w:lineRule="auto"/>
        <w:ind w:right="-1"/>
        <w:jc w:val="both"/>
        <w:rPr>
          <w:rFonts w:ascii="Garamond" w:hAnsi="Garamond" w:cs="Times New Roman"/>
          <w:color w:val="0C0C0F"/>
          <w:sz w:val="23"/>
          <w:szCs w:val="23"/>
          <w:lang w:eastAsia="it-IT"/>
        </w:rPr>
      </w:pPr>
      <w:r w:rsidRPr="001344A2">
        <w:rPr>
          <w:rFonts w:ascii="Garamond" w:hAnsi="Garamond" w:cs="Times New Roman"/>
          <w:bCs/>
          <w:iCs/>
          <w:sz w:val="23"/>
          <w:szCs w:val="23"/>
        </w:rPr>
        <w:t>A seguito del generale processo di riorganizzazione che ha riguardato la macrostruttura regionale</w:t>
      </w:r>
      <w:r w:rsidRPr="001344A2">
        <w:rPr>
          <w:rFonts w:ascii="Garamond" w:eastAsia="Times New Roman" w:hAnsi="Garamond" w:cs="Times New Roman"/>
          <w:color w:val="0C0C0F"/>
          <w:sz w:val="23"/>
          <w:szCs w:val="23"/>
          <w:lang w:eastAsia="it-IT"/>
        </w:rPr>
        <w:t xml:space="preserve"> tra il 2019 ed il 2020, è stata attribuita al </w:t>
      </w:r>
      <w:r w:rsidRPr="001344A2">
        <w:rPr>
          <w:rFonts w:ascii="Garamond" w:hAnsi="Garamond" w:cs="Times New Roman"/>
          <w:color w:val="0C0C0F"/>
          <w:sz w:val="23"/>
          <w:szCs w:val="23"/>
          <w:lang w:eastAsia="it-IT"/>
        </w:rPr>
        <w:t xml:space="preserve">Servizio Autonomo “Controlli e Anticorruzione” la competenza in materia di Controlli successivi di regolarità amministrativa. </w:t>
      </w:r>
    </w:p>
    <w:p w14:paraId="4300B80D" w14:textId="77777777" w:rsidR="00F50665" w:rsidRPr="001344A2" w:rsidRDefault="00F50665" w:rsidP="00582EFE">
      <w:pPr>
        <w:spacing w:after="0" w:line="276" w:lineRule="auto"/>
        <w:ind w:right="-1"/>
        <w:jc w:val="both"/>
        <w:rPr>
          <w:rFonts w:ascii="Garamond" w:hAnsi="Garamond" w:cs="Times New Roman"/>
          <w:color w:val="0C0C0F"/>
          <w:sz w:val="23"/>
          <w:szCs w:val="23"/>
          <w:lang w:eastAsia="it-IT"/>
        </w:rPr>
      </w:pPr>
      <w:r w:rsidRPr="001344A2">
        <w:rPr>
          <w:rFonts w:ascii="Garamond" w:hAnsi="Garamond" w:cs="Times New Roman"/>
          <w:color w:val="0C0C0F"/>
          <w:sz w:val="23"/>
          <w:szCs w:val="23"/>
          <w:lang w:eastAsia="it-IT"/>
        </w:rPr>
        <w:t>Ai sensi della</w:t>
      </w:r>
      <w:r w:rsidRPr="001344A2">
        <w:rPr>
          <w:rFonts w:ascii="Garamond" w:hAnsi="Garamond" w:cs="Times New Roman"/>
          <w:i/>
          <w:sz w:val="23"/>
          <w:szCs w:val="23"/>
        </w:rPr>
        <w:t xml:space="preserve"> </w:t>
      </w:r>
      <w:r w:rsidRPr="001344A2">
        <w:rPr>
          <w:rFonts w:ascii="Garamond" w:hAnsi="Garamond" w:cs="Times New Roman"/>
          <w:color w:val="0C0C0F"/>
          <w:sz w:val="23"/>
          <w:szCs w:val="23"/>
          <w:lang w:eastAsia="it-IT"/>
        </w:rPr>
        <w:t>DGR 153/2020, il controllo successivo di regolarità amministrativa è</w:t>
      </w:r>
      <w:r w:rsidRPr="001344A2">
        <w:rPr>
          <w:rFonts w:ascii="Garamond" w:hAnsi="Garamond" w:cs="Times New Roman"/>
          <w:i/>
          <w:sz w:val="23"/>
          <w:szCs w:val="23"/>
        </w:rPr>
        <w:t xml:space="preserve"> </w:t>
      </w:r>
      <w:r w:rsidRPr="001344A2">
        <w:rPr>
          <w:rFonts w:ascii="Garamond" w:hAnsi="Garamond" w:cs="Times New Roman"/>
          <w:color w:val="0C0C0F"/>
          <w:sz w:val="23"/>
          <w:szCs w:val="23"/>
          <w:lang w:eastAsia="it-IT"/>
        </w:rPr>
        <w:t>diretto a verificare, mediante tecniche di campionamento, il rispetto dei principi di trasparenza, correttezza amministrativa oltre che dei tempi procedimentali, relativamente ai procedimenti di spesa, di gara, di concessione di contributi e relativa rendicontazione, di stipula di convenzioni, di contratti di lavoro e di atti analoghi, nonché quelli relativi a bandi ed avvisi pubblici concernenti le procedure selettive per il reclutamento del personale.</w:t>
      </w:r>
    </w:p>
    <w:p w14:paraId="0DA19F05" w14:textId="6C305166" w:rsidR="00F50665" w:rsidRPr="001344A2" w:rsidRDefault="00F50665" w:rsidP="00582EFE">
      <w:pPr>
        <w:spacing w:after="0" w:line="276" w:lineRule="auto"/>
        <w:ind w:right="-1"/>
        <w:jc w:val="both"/>
        <w:rPr>
          <w:rFonts w:ascii="Garamond" w:hAnsi="Garamond" w:cs="Times New Roman"/>
          <w:bCs/>
          <w:iCs/>
          <w:sz w:val="23"/>
          <w:szCs w:val="23"/>
        </w:rPr>
      </w:pPr>
      <w:r w:rsidRPr="001344A2">
        <w:rPr>
          <w:rFonts w:ascii="Garamond" w:hAnsi="Garamond" w:cs="Times New Roman"/>
          <w:bCs/>
          <w:iCs/>
          <w:sz w:val="23"/>
          <w:szCs w:val="23"/>
        </w:rPr>
        <w:t xml:space="preserve">Il controllo successivo di regolarità amministrativa si annovera dunque tra le misure ed azioni a disposizione del Responsabile della prevenzione della corruzione  e della trasparenza  (RPCT), nell’ottica di una integrazione delle misure finalizzate a garantire </w:t>
      </w:r>
      <w:r w:rsidRPr="001344A2">
        <w:rPr>
          <w:rFonts w:ascii="Garamond" w:eastAsia="Times New Roman" w:hAnsi="Garamond" w:cs="Times New Roman"/>
          <w:bCs/>
          <w:iCs/>
          <w:sz w:val="23"/>
          <w:szCs w:val="23"/>
        </w:rPr>
        <w:t xml:space="preserve">che l’attività amministrativa regionale sia improntata alla  rispetto dei principi di legalità e correttezza amministrativa, </w:t>
      </w:r>
      <w:r w:rsidRPr="001344A2">
        <w:rPr>
          <w:rFonts w:ascii="Garamond" w:hAnsi="Garamond" w:cs="Times New Roman"/>
          <w:bCs/>
          <w:iCs/>
          <w:sz w:val="23"/>
          <w:szCs w:val="23"/>
        </w:rPr>
        <w:t>a contribuire ai</w:t>
      </w:r>
      <w:r w:rsidRPr="001344A2">
        <w:rPr>
          <w:rFonts w:ascii="Garamond" w:eastAsia="Times New Roman" w:hAnsi="Garamond" w:cs="Times New Roman"/>
          <w:bCs/>
          <w:iCs/>
          <w:sz w:val="23"/>
          <w:szCs w:val="23"/>
        </w:rPr>
        <w:t xml:space="preserve"> processi di autocorrezione, miglioramento qualitativo, semplificazione e standardizzazione dell’attività amministrativa dell’Ente</w:t>
      </w:r>
      <w:r w:rsidRPr="001344A2">
        <w:rPr>
          <w:rFonts w:ascii="Garamond" w:eastAsia="Times New Roman" w:hAnsi="Garamond" w:cs="Times New Roman"/>
          <w:color w:val="0C0C0F"/>
          <w:sz w:val="23"/>
          <w:szCs w:val="23"/>
          <w:lang w:eastAsia="it-IT"/>
        </w:rPr>
        <w:t xml:space="preserve"> e quindi a</w:t>
      </w:r>
      <w:r w:rsidRPr="001344A2">
        <w:rPr>
          <w:rFonts w:ascii="Garamond" w:hAnsi="Garamond" w:cs="Times New Roman"/>
          <w:bCs/>
          <w:iCs/>
          <w:sz w:val="23"/>
          <w:szCs w:val="23"/>
        </w:rPr>
        <w:t xml:space="preserve"> prevenire i rischi di corruzione nel rispetto del principio costituzionale del buon andamento dell’azione amministrativa. </w:t>
      </w:r>
    </w:p>
    <w:p w14:paraId="0C5E438F" w14:textId="77777777" w:rsidR="00F50665" w:rsidRPr="001344A2" w:rsidRDefault="00F50665" w:rsidP="00582EFE">
      <w:pPr>
        <w:pStyle w:val="Corpotesto"/>
        <w:spacing w:after="0" w:line="276" w:lineRule="auto"/>
        <w:ind w:right="-1"/>
        <w:jc w:val="both"/>
        <w:rPr>
          <w:rFonts w:ascii="Garamond" w:hAnsi="Garamond"/>
          <w:bCs/>
          <w:iCs/>
          <w:sz w:val="23"/>
          <w:szCs w:val="23"/>
        </w:rPr>
      </w:pPr>
      <w:r w:rsidRPr="001344A2">
        <w:rPr>
          <w:rFonts w:ascii="Garamond" w:hAnsi="Garamond"/>
          <w:color w:val="0C0C0F"/>
          <w:sz w:val="23"/>
          <w:szCs w:val="23"/>
          <w:lang w:eastAsia="it-IT"/>
        </w:rPr>
        <w:t xml:space="preserve">In ossequio alla natura essenzialmente collaborativa di tale tipologia di controllo e delle finalità sue tipiche nonché a mente della connotazione della funzione come delineata nel relativo atto di organizzazione, è stato predisposto apposito Disciplinare per la definizione dei criteri e delle modalità di svolgimento dei controlli, adottato dalla Giunta Regionale con DGR n. 58 del 15.02.2021. </w:t>
      </w:r>
    </w:p>
    <w:p w14:paraId="17527608" w14:textId="77777777" w:rsidR="00F50665" w:rsidRPr="001344A2" w:rsidRDefault="00F50665" w:rsidP="00582EFE">
      <w:pPr>
        <w:pStyle w:val="Corpotesto"/>
        <w:widowControl w:val="0"/>
        <w:autoSpaceDE w:val="0"/>
        <w:autoSpaceDN w:val="0"/>
        <w:spacing w:after="0" w:line="276" w:lineRule="auto"/>
        <w:ind w:right="-1"/>
        <w:jc w:val="both"/>
        <w:rPr>
          <w:rFonts w:ascii="Garamond" w:hAnsi="Garamond"/>
          <w:bCs/>
          <w:iCs/>
          <w:kern w:val="24"/>
          <w:sz w:val="23"/>
          <w:szCs w:val="23"/>
        </w:rPr>
      </w:pPr>
      <w:r w:rsidRPr="001344A2">
        <w:rPr>
          <w:rFonts w:ascii="Garamond" w:hAnsi="Garamond"/>
          <w:bCs/>
          <w:iCs/>
          <w:kern w:val="24"/>
          <w:sz w:val="23"/>
          <w:szCs w:val="23"/>
        </w:rPr>
        <w:t xml:space="preserve">In tale ottica, il Disciplinare predisposto contiene principi ispiratori e criteri generali per lo svolgimento dei controlli, sia con riguardo alla formazione del campione degli atti da sottoporre a controllo, sia con riguardo alla procedura di controllo ed ai relativi esiti, come di seguito sommariamente si delineano: </w:t>
      </w:r>
    </w:p>
    <w:p w14:paraId="5186C368" w14:textId="77777777" w:rsidR="00F50665" w:rsidRPr="001344A2" w:rsidRDefault="00F50665" w:rsidP="00724C70">
      <w:pPr>
        <w:pStyle w:val="Corpotesto"/>
        <w:widowControl w:val="0"/>
        <w:numPr>
          <w:ilvl w:val="0"/>
          <w:numId w:val="7"/>
        </w:numPr>
        <w:autoSpaceDE w:val="0"/>
        <w:autoSpaceDN w:val="0"/>
        <w:spacing w:after="0" w:line="276" w:lineRule="auto"/>
        <w:ind w:left="284" w:right="-1" w:hanging="284"/>
        <w:jc w:val="both"/>
        <w:rPr>
          <w:rFonts w:ascii="Garamond" w:hAnsi="Garamond"/>
          <w:bCs/>
          <w:iCs/>
          <w:kern w:val="24"/>
          <w:sz w:val="23"/>
          <w:szCs w:val="23"/>
        </w:rPr>
      </w:pPr>
      <w:r w:rsidRPr="001344A2">
        <w:rPr>
          <w:rFonts w:ascii="Garamond" w:hAnsi="Garamond"/>
          <w:bCs/>
          <w:iCs/>
          <w:kern w:val="24"/>
          <w:sz w:val="23"/>
          <w:szCs w:val="23"/>
        </w:rPr>
        <w:lastRenderedPageBreak/>
        <w:t xml:space="preserve">Pianificazione dei controlli attraverso l’adozione di appositi </w:t>
      </w:r>
      <w:r w:rsidRPr="001344A2">
        <w:rPr>
          <w:rFonts w:ascii="Garamond" w:hAnsi="Garamond"/>
          <w:bCs/>
          <w:i/>
          <w:iCs/>
          <w:kern w:val="24"/>
          <w:sz w:val="23"/>
          <w:szCs w:val="23"/>
        </w:rPr>
        <w:t>Piani annuali</w:t>
      </w:r>
      <w:r w:rsidRPr="001344A2">
        <w:rPr>
          <w:rFonts w:ascii="Garamond" w:hAnsi="Garamond"/>
          <w:bCs/>
          <w:iCs/>
          <w:kern w:val="24"/>
          <w:sz w:val="23"/>
          <w:szCs w:val="23"/>
        </w:rPr>
        <w:t xml:space="preserve"> </w:t>
      </w:r>
      <w:r w:rsidRPr="001344A2">
        <w:rPr>
          <w:rFonts w:ascii="Garamond" w:hAnsi="Garamond"/>
          <w:bCs/>
          <w:i/>
          <w:iCs/>
          <w:kern w:val="24"/>
          <w:sz w:val="23"/>
          <w:szCs w:val="23"/>
        </w:rPr>
        <w:t>dei Controlli</w:t>
      </w:r>
      <w:r w:rsidRPr="001344A2">
        <w:rPr>
          <w:rFonts w:ascii="Garamond" w:hAnsi="Garamond"/>
          <w:bCs/>
          <w:iCs/>
          <w:kern w:val="24"/>
          <w:sz w:val="23"/>
          <w:szCs w:val="23"/>
        </w:rPr>
        <w:t xml:space="preserve">, da approvarsi entro il 31 gennaio, in cui vengono puntualmente definiti il periodo di adozione degli atti da sottoporre a controllo, l’entità del campione con le procedure di campionamento e di selezione degli atti, le esatte modalità e tempistiche dello svolgimento dei controlli, nel rispetto dei principi generali contenuti nel Disciplinare. </w:t>
      </w:r>
    </w:p>
    <w:p w14:paraId="3A0356F5" w14:textId="77777777" w:rsidR="00F50665" w:rsidRPr="001344A2" w:rsidRDefault="00F50665" w:rsidP="00724C70">
      <w:pPr>
        <w:pStyle w:val="Corpotesto"/>
        <w:widowControl w:val="0"/>
        <w:numPr>
          <w:ilvl w:val="0"/>
          <w:numId w:val="7"/>
        </w:numPr>
        <w:autoSpaceDE w:val="0"/>
        <w:autoSpaceDN w:val="0"/>
        <w:spacing w:after="0" w:line="276" w:lineRule="auto"/>
        <w:ind w:left="284" w:right="-1" w:hanging="284"/>
        <w:jc w:val="both"/>
        <w:rPr>
          <w:rFonts w:ascii="Garamond" w:hAnsi="Garamond"/>
          <w:bCs/>
          <w:iCs/>
          <w:kern w:val="24"/>
          <w:sz w:val="23"/>
          <w:szCs w:val="23"/>
        </w:rPr>
      </w:pPr>
      <w:r w:rsidRPr="001344A2">
        <w:rPr>
          <w:rFonts w:ascii="Garamond" w:hAnsi="Garamond"/>
          <w:bCs/>
          <w:iCs/>
          <w:kern w:val="24"/>
          <w:sz w:val="23"/>
          <w:szCs w:val="23"/>
        </w:rPr>
        <w:t>Effettuazione dei controlli con cadenza almeno semestrale.</w:t>
      </w:r>
    </w:p>
    <w:p w14:paraId="2D2BB73E" w14:textId="77777777" w:rsidR="00F50665" w:rsidRPr="001344A2" w:rsidRDefault="00F50665" w:rsidP="00724C70">
      <w:pPr>
        <w:pStyle w:val="Corpotesto"/>
        <w:widowControl w:val="0"/>
        <w:numPr>
          <w:ilvl w:val="0"/>
          <w:numId w:val="7"/>
        </w:numPr>
        <w:autoSpaceDE w:val="0"/>
        <w:autoSpaceDN w:val="0"/>
        <w:spacing w:after="0" w:line="276" w:lineRule="auto"/>
        <w:ind w:left="284" w:right="-1" w:hanging="284"/>
        <w:jc w:val="both"/>
        <w:rPr>
          <w:rFonts w:ascii="Garamond" w:hAnsi="Garamond"/>
          <w:bCs/>
          <w:iCs/>
          <w:kern w:val="24"/>
          <w:sz w:val="23"/>
          <w:szCs w:val="23"/>
        </w:rPr>
      </w:pPr>
      <w:r w:rsidRPr="001344A2">
        <w:rPr>
          <w:rFonts w:ascii="Garamond" w:hAnsi="Garamond"/>
          <w:bCs/>
          <w:iCs/>
          <w:kern w:val="24"/>
          <w:sz w:val="23"/>
          <w:szCs w:val="23"/>
        </w:rPr>
        <w:t xml:space="preserve">Definizione di tecniche di campionamento tali da assicurare la trasparenza della selezione e tali da riguardare tutte le Strutture che adottino atti riferiti ai procedimenti ascrivibili alle tipologie previste nella declaratoria delle competenze del Servizio. Il Disciplinare prevede altresì che il campionamento sia effettuato tenendo conto della mappatura dei processi individuati nel Piano Triennale della Prevenzione della Corruzione e della Trasparenza (PTPCT). Detto collegamento consente di monitorare le aree di attività per così dire “sensibili”, in quanto maggiormente esposte a rischio di irregolarità, sia con riferimento al tipo di processo che al carattere discrezionale dell’attività. In tale prospettiva, le tecniche di campionamento saranno puntualmente definite nei Piani annuali dei controlli così da poter essere sviluppate ed affinate, anche traendo </w:t>
      </w:r>
      <w:r w:rsidRPr="001344A2">
        <w:rPr>
          <w:rFonts w:ascii="Garamond" w:hAnsi="Garamond"/>
          <w:sz w:val="23"/>
          <w:szCs w:val="23"/>
        </w:rPr>
        <w:t>spunto dalle risultanze delle verifiche precedenti.</w:t>
      </w:r>
      <w:r w:rsidRPr="001344A2">
        <w:rPr>
          <w:rFonts w:ascii="Garamond" w:hAnsi="Garamond"/>
          <w:bCs/>
          <w:iCs/>
          <w:kern w:val="24"/>
          <w:sz w:val="23"/>
          <w:szCs w:val="23"/>
        </w:rPr>
        <w:t xml:space="preserve"> </w:t>
      </w:r>
    </w:p>
    <w:p w14:paraId="01218EE2" w14:textId="77777777" w:rsidR="00F50665" w:rsidRPr="001344A2" w:rsidRDefault="00F50665" w:rsidP="00724C70">
      <w:pPr>
        <w:pStyle w:val="Corpotesto"/>
        <w:widowControl w:val="0"/>
        <w:numPr>
          <w:ilvl w:val="0"/>
          <w:numId w:val="7"/>
        </w:numPr>
        <w:autoSpaceDE w:val="0"/>
        <w:autoSpaceDN w:val="0"/>
        <w:spacing w:after="0" w:line="276" w:lineRule="auto"/>
        <w:ind w:left="284" w:right="-1" w:hanging="284"/>
        <w:jc w:val="both"/>
        <w:rPr>
          <w:rFonts w:ascii="Garamond" w:hAnsi="Garamond"/>
          <w:bCs/>
          <w:iCs/>
          <w:kern w:val="24"/>
          <w:sz w:val="23"/>
          <w:szCs w:val="23"/>
        </w:rPr>
      </w:pPr>
      <w:r w:rsidRPr="001344A2">
        <w:rPr>
          <w:rFonts w:ascii="Garamond" w:hAnsi="Garamond"/>
          <w:bCs/>
          <w:iCs/>
          <w:kern w:val="24"/>
          <w:sz w:val="23"/>
          <w:szCs w:val="23"/>
        </w:rPr>
        <w:t>Definizione dei parametri di verifica degli atti volti ad accertarne la regolarità con riferimento ad elementi predefiniti, differenziati nei limiti richiesti dalla specificità dell’oggetto del controllo e noti prima della formazione del campione, indicati in via esemplificativa nel disciplinare e più puntualmente esplicitati nella griglia di valutazione acclusa al Piano annuale dei controlli, che tra i parametri di verifica prevede specificamente il rispetto delle disposizioni in materia di anticorruzione e trasparenza.</w:t>
      </w:r>
    </w:p>
    <w:p w14:paraId="7F7320E8" w14:textId="77777777" w:rsidR="00F50665" w:rsidRPr="001344A2" w:rsidRDefault="00F50665" w:rsidP="00724C70">
      <w:pPr>
        <w:pStyle w:val="Corpotesto"/>
        <w:widowControl w:val="0"/>
        <w:numPr>
          <w:ilvl w:val="0"/>
          <w:numId w:val="7"/>
        </w:numPr>
        <w:autoSpaceDE w:val="0"/>
        <w:autoSpaceDN w:val="0"/>
        <w:spacing w:after="0" w:line="276" w:lineRule="auto"/>
        <w:ind w:left="284" w:right="-1" w:hanging="284"/>
        <w:jc w:val="both"/>
        <w:rPr>
          <w:rFonts w:ascii="Garamond" w:hAnsi="Garamond"/>
          <w:bCs/>
          <w:iCs/>
          <w:kern w:val="24"/>
          <w:sz w:val="23"/>
          <w:szCs w:val="23"/>
        </w:rPr>
      </w:pPr>
      <w:r w:rsidRPr="001344A2">
        <w:rPr>
          <w:rFonts w:ascii="Garamond" w:hAnsi="Garamond"/>
          <w:bCs/>
          <w:iCs/>
          <w:kern w:val="24"/>
          <w:sz w:val="23"/>
          <w:szCs w:val="23"/>
        </w:rPr>
        <w:t xml:space="preserve">Previsione di un confronto collaborativo con il Dirigente titolare del procedimento in merito ad eventuali osservazioni e rilievi sollevati circa l’atto sottoposto a controllo, così da consentire la formulazione di chiarimenti e controdeduzioni, anche attraverso audizioni e/o integrazioni documentali, prima della redazione della scheda finale di verifica. Il Dirigente avrà così, fin dalla fase iniziale del controllo, la possibilità di maturare le proprie determinazioni circa l’eventuale rettifica/revoca dell’atto adottato. A conclusione dell’istruttoria, è redatta una scheda di verifica nella quale possono essere proposte eventuali azioni di miglioramento e/o correttive. </w:t>
      </w:r>
    </w:p>
    <w:p w14:paraId="7EC255F2" w14:textId="77777777" w:rsidR="00F50665" w:rsidRPr="001344A2" w:rsidRDefault="00F50665" w:rsidP="00724C70">
      <w:pPr>
        <w:pStyle w:val="Corpotesto"/>
        <w:widowControl w:val="0"/>
        <w:numPr>
          <w:ilvl w:val="0"/>
          <w:numId w:val="7"/>
        </w:numPr>
        <w:autoSpaceDE w:val="0"/>
        <w:autoSpaceDN w:val="0"/>
        <w:spacing w:after="0" w:line="276" w:lineRule="auto"/>
        <w:ind w:left="284" w:right="-1" w:hanging="284"/>
        <w:jc w:val="both"/>
        <w:rPr>
          <w:rFonts w:ascii="Garamond" w:hAnsi="Garamond"/>
          <w:bCs/>
          <w:iCs/>
          <w:kern w:val="24"/>
          <w:sz w:val="23"/>
          <w:szCs w:val="23"/>
        </w:rPr>
      </w:pPr>
      <w:r w:rsidRPr="001344A2">
        <w:rPr>
          <w:rFonts w:ascii="Garamond" w:hAnsi="Garamond"/>
          <w:bCs/>
          <w:iCs/>
          <w:kern w:val="24"/>
          <w:sz w:val="23"/>
          <w:szCs w:val="23"/>
        </w:rPr>
        <w:t>Definizione della tempistica della procedura di controllo, ivi compresi i tempi delle interlocuzioni con il Dirigente, contenendone i termini in modo da consentire l’eventuale esercizio del potere di autotutela.</w:t>
      </w:r>
    </w:p>
    <w:p w14:paraId="00681F6D" w14:textId="77777777" w:rsidR="00F50665" w:rsidRPr="001344A2" w:rsidRDefault="00F50665" w:rsidP="00724C70">
      <w:pPr>
        <w:pStyle w:val="Corpotesto"/>
        <w:widowControl w:val="0"/>
        <w:numPr>
          <w:ilvl w:val="0"/>
          <w:numId w:val="7"/>
        </w:numPr>
        <w:shd w:val="clear" w:color="auto" w:fill="FFFFFF"/>
        <w:autoSpaceDE w:val="0"/>
        <w:autoSpaceDN w:val="0"/>
        <w:spacing w:after="0" w:line="276" w:lineRule="auto"/>
        <w:ind w:left="284" w:right="-1" w:hanging="284"/>
        <w:jc w:val="both"/>
        <w:rPr>
          <w:rFonts w:ascii="Garamond" w:hAnsi="Garamond"/>
          <w:color w:val="0C0C0F"/>
          <w:sz w:val="23"/>
          <w:szCs w:val="23"/>
          <w:lang w:eastAsia="it-IT"/>
        </w:rPr>
      </w:pPr>
      <w:r w:rsidRPr="001344A2">
        <w:rPr>
          <w:rFonts w:ascii="Garamond" w:hAnsi="Garamond"/>
          <w:bCs/>
          <w:iCs/>
          <w:kern w:val="24"/>
          <w:sz w:val="23"/>
          <w:szCs w:val="23"/>
        </w:rPr>
        <w:t xml:space="preserve">Redazione di rapporti semestrali contenenti le procedure di controllo espletate, con i relativi dati ed esiti, le determinazioni assunte riguardo agli atti oggetto di rilievo, nonché eventuali </w:t>
      </w:r>
      <w:r w:rsidRPr="001344A2">
        <w:rPr>
          <w:rFonts w:ascii="Garamond" w:hAnsi="Garamond"/>
          <w:color w:val="0C0C0F"/>
          <w:sz w:val="23"/>
          <w:szCs w:val="23"/>
          <w:lang w:eastAsia="it-IT"/>
        </w:rPr>
        <w:t xml:space="preserve">suggerimenti e proposte operative della Struttura preposta al controllo, ivi comprese proposte di modifiche regolamentari, procedurali o di prassi, finalizzate ad eliminare le irregolarità riscontrate, a migliorare la qualità degli atti prodotti e ad uniformare i comportamenti delle Strutture dell’Ente. </w:t>
      </w:r>
    </w:p>
    <w:p w14:paraId="358A4B7A" w14:textId="77777777" w:rsidR="00F50665" w:rsidRPr="001344A2" w:rsidRDefault="00F50665" w:rsidP="00724C70">
      <w:pPr>
        <w:pStyle w:val="Corpotesto"/>
        <w:widowControl w:val="0"/>
        <w:numPr>
          <w:ilvl w:val="0"/>
          <w:numId w:val="7"/>
        </w:numPr>
        <w:autoSpaceDE w:val="0"/>
        <w:autoSpaceDN w:val="0"/>
        <w:spacing w:after="0" w:line="276" w:lineRule="auto"/>
        <w:ind w:left="284" w:right="-1" w:hanging="284"/>
        <w:jc w:val="both"/>
        <w:rPr>
          <w:rFonts w:ascii="Garamond" w:hAnsi="Garamond"/>
          <w:bCs/>
          <w:iCs/>
          <w:kern w:val="24"/>
          <w:sz w:val="23"/>
          <w:szCs w:val="23"/>
        </w:rPr>
      </w:pPr>
      <w:r w:rsidRPr="001344A2">
        <w:rPr>
          <w:rFonts w:ascii="Garamond" w:hAnsi="Garamond"/>
          <w:bCs/>
          <w:iCs/>
          <w:kern w:val="24"/>
          <w:sz w:val="23"/>
          <w:szCs w:val="23"/>
        </w:rPr>
        <w:t xml:space="preserve">Trasmissione dei rapporti semestrali al Presidente e ai Componenti della Giunta regionale, al Direttore Generale, all’OIV, al Collegio dei Revisori dei Conti e al Servizio Controllo di Gestione e impiego dei medesimi rapporti per la redazione della Relazione annuale del Presidente della Regione sul sistema dei controlli ai sensi </w:t>
      </w:r>
      <w:r w:rsidRPr="001344A2">
        <w:rPr>
          <w:rFonts w:ascii="Garamond" w:hAnsi="Garamond"/>
          <w:color w:val="0C0C0F"/>
          <w:sz w:val="23"/>
          <w:szCs w:val="23"/>
          <w:lang w:eastAsia="it-IT"/>
        </w:rPr>
        <w:t>dell’art. 1 comma 6 del D.L. 10 ottobre 2012 n. 174.</w:t>
      </w:r>
    </w:p>
    <w:p w14:paraId="157E479D" w14:textId="47034351" w:rsidR="00F50665" w:rsidRDefault="00F50665" w:rsidP="00582EFE">
      <w:pPr>
        <w:autoSpaceDE w:val="0"/>
        <w:autoSpaceDN w:val="0"/>
        <w:adjustRightInd w:val="0"/>
        <w:spacing w:after="0" w:line="276" w:lineRule="auto"/>
        <w:ind w:right="-1"/>
        <w:jc w:val="both"/>
        <w:rPr>
          <w:rFonts w:ascii="Garamond" w:hAnsi="Garamond" w:cs="Times New Roman"/>
          <w:sz w:val="23"/>
          <w:szCs w:val="23"/>
        </w:rPr>
      </w:pPr>
      <w:r w:rsidRPr="001344A2">
        <w:rPr>
          <w:rFonts w:ascii="Garamond" w:hAnsi="Garamond" w:cs="Times New Roman"/>
          <w:bCs/>
          <w:iCs/>
          <w:kern w:val="24"/>
          <w:sz w:val="23"/>
          <w:szCs w:val="23"/>
        </w:rPr>
        <w:t xml:space="preserve">Il Disciplinare, dunque, fissa i principi ed i criteri generali per lo svolgimento dei controlli successivi di regolarità amministrativa, rinviando </w:t>
      </w:r>
      <w:r w:rsidRPr="001344A2">
        <w:rPr>
          <w:rFonts w:ascii="Garamond" w:hAnsi="Garamond" w:cs="Times New Roman"/>
          <w:color w:val="000000"/>
          <w:sz w:val="23"/>
          <w:szCs w:val="23"/>
        </w:rPr>
        <w:t xml:space="preserve">al Piano annuale il dettaglio della procedura di controllo e della formazione del campione. </w:t>
      </w:r>
      <w:r w:rsidRPr="001344A2">
        <w:rPr>
          <w:rFonts w:ascii="Garamond" w:hAnsi="Garamond" w:cs="Times New Roman"/>
          <w:bCs/>
          <w:iCs/>
          <w:kern w:val="24"/>
          <w:sz w:val="23"/>
          <w:szCs w:val="23"/>
        </w:rPr>
        <w:t xml:space="preserve">Ciò risponde all’esigenza di rendere il più flessibile possibile il Piano Annuale dei Controlli affinché possa essere adeguatamente strutturato sulla base dell’esperienza e degli esiti dei controlli pregressi ed orientato sui procedimenti che richiedano di essere maggiormente </w:t>
      </w:r>
      <w:proofErr w:type="spellStart"/>
      <w:r w:rsidRPr="001344A2">
        <w:rPr>
          <w:rFonts w:ascii="Garamond" w:hAnsi="Garamond" w:cs="Times New Roman"/>
          <w:bCs/>
          <w:iCs/>
          <w:kern w:val="24"/>
          <w:sz w:val="23"/>
          <w:szCs w:val="23"/>
        </w:rPr>
        <w:t>attenzionati</w:t>
      </w:r>
      <w:proofErr w:type="spellEnd"/>
      <w:r w:rsidRPr="001344A2">
        <w:rPr>
          <w:rFonts w:ascii="Garamond" w:hAnsi="Garamond" w:cs="Times New Roman"/>
          <w:bCs/>
          <w:iCs/>
          <w:kern w:val="24"/>
          <w:sz w:val="23"/>
          <w:szCs w:val="23"/>
        </w:rPr>
        <w:t>. La</w:t>
      </w:r>
      <w:r w:rsidRPr="001344A2">
        <w:rPr>
          <w:rFonts w:ascii="Garamond" w:hAnsi="Garamond" w:cs="Times New Roman"/>
          <w:sz w:val="23"/>
          <w:szCs w:val="23"/>
        </w:rPr>
        <w:t xml:space="preserve"> formazione del campione e la selezione degli atti da sottoporre a controllo, pertanto, assumono importanza fondamentale per monitorare i settori di attività che, per criticità risultanti dalle rilevazioni precedenti, possano considerarsi più esposte al rischio di corruzione.</w:t>
      </w:r>
    </w:p>
    <w:p w14:paraId="633A5F94" w14:textId="77777777" w:rsidR="008C5D06" w:rsidRPr="00744451" w:rsidRDefault="008C5D06" w:rsidP="00582EFE">
      <w:pPr>
        <w:autoSpaceDE w:val="0"/>
        <w:autoSpaceDN w:val="0"/>
        <w:adjustRightInd w:val="0"/>
        <w:spacing w:after="0" w:line="276" w:lineRule="auto"/>
        <w:ind w:right="-1"/>
        <w:jc w:val="both"/>
        <w:rPr>
          <w:rFonts w:ascii="Garamond" w:hAnsi="Garamond" w:cs="Times New Roman"/>
          <w:sz w:val="23"/>
          <w:szCs w:val="23"/>
        </w:rPr>
      </w:pPr>
    </w:p>
    <w:p w14:paraId="35B8613C" w14:textId="5162FC15" w:rsidR="001058F1" w:rsidRPr="00BB0B40" w:rsidRDefault="008642E4" w:rsidP="001058F1">
      <w:pPr>
        <w:spacing w:after="0" w:line="276" w:lineRule="auto"/>
        <w:ind w:right="-1"/>
        <w:jc w:val="both"/>
        <w:rPr>
          <w:rFonts w:ascii="Garamond" w:hAnsi="Garamond" w:cs="Times New Roman"/>
          <w:b/>
          <w:i/>
          <w:sz w:val="23"/>
          <w:szCs w:val="23"/>
        </w:rPr>
      </w:pPr>
      <w:bookmarkStart w:id="63" w:name="_Hlk101637618"/>
      <w:r w:rsidRPr="00BB0B40">
        <w:rPr>
          <w:rFonts w:ascii="Garamond" w:hAnsi="Garamond" w:cs="Times New Roman"/>
          <w:b/>
          <w:i/>
          <w:sz w:val="23"/>
          <w:szCs w:val="23"/>
        </w:rPr>
        <w:lastRenderedPageBreak/>
        <w:t xml:space="preserve">La trasparenza e le misure di prevenzione della corruzione introdotte in materia di </w:t>
      </w:r>
      <w:r w:rsidR="001058F1" w:rsidRPr="00BB0B40">
        <w:rPr>
          <w:rFonts w:ascii="Garamond" w:hAnsi="Garamond" w:cs="Times New Roman"/>
          <w:b/>
          <w:i/>
          <w:sz w:val="23"/>
          <w:szCs w:val="23"/>
        </w:rPr>
        <w:t>contratti pubblici</w:t>
      </w:r>
      <w:r w:rsidR="00521A5A" w:rsidRPr="00BB0B40">
        <w:rPr>
          <w:rFonts w:ascii="Garamond" w:hAnsi="Garamond" w:cs="Times New Roman"/>
          <w:b/>
          <w:i/>
          <w:sz w:val="23"/>
          <w:szCs w:val="23"/>
        </w:rPr>
        <w:t xml:space="preserve"> in deroga e di contratti</w:t>
      </w:r>
      <w:r w:rsidR="002121DF" w:rsidRPr="00BB0B40">
        <w:rPr>
          <w:rFonts w:ascii="Garamond" w:hAnsi="Garamond" w:cs="Times New Roman"/>
          <w:b/>
          <w:i/>
          <w:sz w:val="23"/>
          <w:szCs w:val="23"/>
        </w:rPr>
        <w:t xml:space="preserve"> finanziati a valere sulle risorse del PN</w:t>
      </w:r>
      <w:r w:rsidR="000D42C7">
        <w:rPr>
          <w:rFonts w:ascii="Garamond" w:hAnsi="Garamond" w:cs="Times New Roman"/>
          <w:b/>
          <w:i/>
          <w:sz w:val="23"/>
          <w:szCs w:val="23"/>
        </w:rPr>
        <w:t>R</w:t>
      </w:r>
      <w:r w:rsidR="002121DF" w:rsidRPr="00BB0B40">
        <w:rPr>
          <w:rFonts w:ascii="Garamond" w:hAnsi="Garamond" w:cs="Times New Roman"/>
          <w:b/>
          <w:i/>
          <w:sz w:val="23"/>
          <w:szCs w:val="23"/>
        </w:rPr>
        <w:t xml:space="preserve">R, del </w:t>
      </w:r>
      <w:r w:rsidRPr="00BB0B40">
        <w:rPr>
          <w:rFonts w:ascii="Garamond" w:hAnsi="Garamond" w:cs="Times New Roman"/>
          <w:b/>
          <w:i/>
          <w:sz w:val="23"/>
          <w:szCs w:val="23"/>
        </w:rPr>
        <w:t>P</w:t>
      </w:r>
      <w:r w:rsidR="002121DF" w:rsidRPr="00BB0B40">
        <w:rPr>
          <w:rFonts w:ascii="Garamond" w:hAnsi="Garamond" w:cs="Times New Roman"/>
          <w:b/>
          <w:i/>
          <w:sz w:val="23"/>
          <w:szCs w:val="23"/>
        </w:rPr>
        <w:t>NC e dei fondi strutturali</w:t>
      </w:r>
      <w:r w:rsidRPr="00BB0B40">
        <w:rPr>
          <w:rFonts w:ascii="Garamond" w:hAnsi="Garamond" w:cs="Times New Roman"/>
          <w:b/>
          <w:i/>
          <w:sz w:val="23"/>
          <w:szCs w:val="23"/>
        </w:rPr>
        <w:t>.</w:t>
      </w:r>
    </w:p>
    <w:bookmarkEnd w:id="63"/>
    <w:p w14:paraId="6B715072" w14:textId="77777777" w:rsidR="00793B0B" w:rsidRPr="00BB0B40" w:rsidRDefault="00793B0B" w:rsidP="00793B0B">
      <w:pPr>
        <w:tabs>
          <w:tab w:val="left" w:pos="9354"/>
        </w:tabs>
        <w:autoSpaceDE w:val="0"/>
        <w:autoSpaceDN w:val="0"/>
        <w:adjustRightInd w:val="0"/>
        <w:spacing w:after="0" w:line="276" w:lineRule="auto"/>
        <w:ind w:right="-1"/>
        <w:jc w:val="both"/>
        <w:rPr>
          <w:rFonts w:ascii="Garamond" w:hAnsi="Garamond" w:cs="Times New Roman"/>
          <w:sz w:val="23"/>
          <w:szCs w:val="23"/>
        </w:rPr>
      </w:pPr>
      <w:r w:rsidRPr="00BB0B40">
        <w:rPr>
          <w:rFonts w:ascii="Garamond" w:hAnsi="Garamond" w:cs="Times New Roman"/>
          <w:sz w:val="23"/>
          <w:szCs w:val="23"/>
        </w:rPr>
        <w:t>La disciplina dei contratti pubblici è stata investita, negli anni recenti, da una serie di interventi legislativi che hanno contribuito, da un lato, ad arricchire il novero di disposizioni ricadenti all’interno di tale ambito e, dall’altro lato, a produrre una sorta di “stratificazione normativa”, per via dell’introduzione di specifiche legislazioni di carattere speciale e derogatorio che, in sostanza, hanno reso più che mai composito e variegato l’attuale quadro legislativo di riferimento.</w:t>
      </w:r>
    </w:p>
    <w:p w14:paraId="7C1C47F8" w14:textId="4771DFE6" w:rsidR="00793B0B" w:rsidRPr="00BB0B40" w:rsidRDefault="00793B0B" w:rsidP="00793B0B">
      <w:pPr>
        <w:tabs>
          <w:tab w:val="left" w:pos="9354"/>
        </w:tabs>
        <w:autoSpaceDE w:val="0"/>
        <w:autoSpaceDN w:val="0"/>
        <w:adjustRightInd w:val="0"/>
        <w:spacing w:after="0" w:line="276" w:lineRule="auto"/>
        <w:ind w:right="-1"/>
        <w:jc w:val="both"/>
        <w:rPr>
          <w:rFonts w:ascii="Garamond" w:hAnsi="Garamond" w:cs="Times New Roman"/>
          <w:sz w:val="23"/>
          <w:szCs w:val="23"/>
        </w:rPr>
      </w:pPr>
      <w:r w:rsidRPr="00BB0B40">
        <w:rPr>
          <w:rFonts w:ascii="Garamond" w:hAnsi="Garamond" w:cs="Times New Roman"/>
          <w:sz w:val="23"/>
          <w:szCs w:val="23"/>
        </w:rPr>
        <w:t>Base di partenza e punto di osservazione per l’analisi del settore della contrattualistica pubblica</w:t>
      </w:r>
      <w:r w:rsidR="00474D95" w:rsidRPr="00BB0B40">
        <w:rPr>
          <w:rFonts w:ascii="Garamond" w:hAnsi="Garamond" w:cs="Times New Roman"/>
          <w:sz w:val="23"/>
          <w:szCs w:val="23"/>
        </w:rPr>
        <w:t xml:space="preserve"> - nelle more che si definiscano le imminenti modifiche al codice dei contratti - </w:t>
      </w:r>
      <w:r w:rsidRPr="00BB0B40">
        <w:rPr>
          <w:rFonts w:ascii="Garamond" w:hAnsi="Garamond" w:cs="Times New Roman"/>
          <w:sz w:val="23"/>
          <w:szCs w:val="23"/>
        </w:rPr>
        <w:t>può essere rappresentata dai contenuti di interesse del D</w:t>
      </w:r>
      <w:r w:rsidR="00474D95" w:rsidRPr="00BB0B40">
        <w:rPr>
          <w:rFonts w:ascii="Garamond" w:hAnsi="Garamond" w:cs="Times New Roman"/>
          <w:sz w:val="23"/>
          <w:szCs w:val="23"/>
        </w:rPr>
        <w:t>.</w:t>
      </w:r>
      <w:r w:rsidRPr="00BB0B40">
        <w:rPr>
          <w:rFonts w:ascii="Garamond" w:hAnsi="Garamond" w:cs="Times New Roman"/>
          <w:sz w:val="23"/>
          <w:szCs w:val="23"/>
        </w:rPr>
        <w:t xml:space="preserve"> L</w:t>
      </w:r>
      <w:r w:rsidR="00474D95" w:rsidRPr="00BB0B40">
        <w:rPr>
          <w:rFonts w:ascii="Garamond" w:hAnsi="Garamond" w:cs="Times New Roman"/>
          <w:sz w:val="23"/>
          <w:szCs w:val="23"/>
        </w:rPr>
        <w:t>.</w:t>
      </w:r>
      <w:r w:rsidRPr="00BB0B40">
        <w:rPr>
          <w:rFonts w:ascii="Garamond" w:hAnsi="Garamond" w:cs="Times New Roman"/>
          <w:sz w:val="23"/>
          <w:szCs w:val="23"/>
        </w:rPr>
        <w:t xml:space="preserve"> 16.07. 2020, n. 76, recante “</w:t>
      </w:r>
      <w:r w:rsidRPr="00BB0B40">
        <w:rPr>
          <w:rFonts w:ascii="Garamond" w:hAnsi="Garamond" w:cs="Times New Roman"/>
          <w:i/>
          <w:iCs/>
          <w:sz w:val="23"/>
          <w:szCs w:val="23"/>
        </w:rPr>
        <w:t>Misure urgenti per la semplificazione e l’innovazione digitale</w:t>
      </w:r>
      <w:r w:rsidRPr="00BB0B40">
        <w:rPr>
          <w:rFonts w:ascii="Garamond" w:hAnsi="Garamond" w:cs="Times New Roman"/>
          <w:sz w:val="23"/>
          <w:szCs w:val="23"/>
        </w:rPr>
        <w:t>”, del D.L. 31.05.2011 n. 77 recante “</w:t>
      </w:r>
      <w:proofErr w:type="spellStart"/>
      <w:r w:rsidRPr="00BB0B40">
        <w:rPr>
          <w:rFonts w:ascii="Garamond" w:hAnsi="Garamond" w:cs="Times New Roman"/>
          <w:i/>
          <w:iCs/>
          <w:sz w:val="23"/>
          <w:szCs w:val="23"/>
        </w:rPr>
        <w:t>Governance</w:t>
      </w:r>
      <w:proofErr w:type="spellEnd"/>
      <w:r w:rsidRPr="00BB0B40">
        <w:rPr>
          <w:rFonts w:ascii="Garamond" w:hAnsi="Garamond" w:cs="Times New Roman"/>
          <w:i/>
          <w:iCs/>
          <w:sz w:val="23"/>
          <w:szCs w:val="23"/>
        </w:rPr>
        <w:t xml:space="preserve"> del Piano Nazionale di ripresa e resilienza e prime misure di rafforzamento delle strutture amministrative e di accelerazione e snellimento delle procedure</w:t>
      </w:r>
      <w:r w:rsidRPr="00BB0B40">
        <w:rPr>
          <w:rFonts w:ascii="Garamond" w:hAnsi="Garamond" w:cs="Times New Roman"/>
          <w:sz w:val="23"/>
          <w:szCs w:val="23"/>
        </w:rPr>
        <w:t>”</w:t>
      </w:r>
      <w:r w:rsidR="00474D95" w:rsidRPr="00BB0B40">
        <w:rPr>
          <w:rFonts w:ascii="Garamond" w:hAnsi="Garamond" w:cs="Times New Roman"/>
          <w:sz w:val="23"/>
          <w:szCs w:val="23"/>
        </w:rPr>
        <w:t xml:space="preserve"> e della L. n. 238/2021 (Legge europea 2019-2020).</w:t>
      </w:r>
    </w:p>
    <w:p w14:paraId="18DFC471" w14:textId="00D0E82C" w:rsidR="008D566D" w:rsidRPr="00783577" w:rsidRDefault="00C06FFD" w:rsidP="00582EFE">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783577">
        <w:rPr>
          <w:rFonts w:ascii="Garamond" w:hAnsi="Garamond" w:cs="Times New Roman"/>
          <w:iCs/>
          <w:sz w:val="23"/>
          <w:szCs w:val="23"/>
        </w:rPr>
        <w:t xml:space="preserve">Il </w:t>
      </w:r>
      <w:bookmarkStart w:id="64" w:name="_Hlk124592713"/>
      <w:r w:rsidR="002121DF" w:rsidRPr="00783577">
        <w:rPr>
          <w:rFonts w:ascii="Garamond" w:hAnsi="Garamond" w:cs="Times New Roman"/>
          <w:b/>
          <w:iCs/>
          <w:sz w:val="23"/>
          <w:szCs w:val="23"/>
        </w:rPr>
        <w:t>D</w:t>
      </w:r>
      <w:r w:rsidRPr="00783577">
        <w:rPr>
          <w:rFonts w:ascii="Garamond" w:hAnsi="Garamond" w:cs="Times New Roman"/>
          <w:b/>
          <w:iCs/>
          <w:sz w:val="23"/>
          <w:szCs w:val="23"/>
        </w:rPr>
        <w:t>ecr</w:t>
      </w:r>
      <w:r w:rsidR="008D566D" w:rsidRPr="00783577">
        <w:rPr>
          <w:rFonts w:ascii="Garamond" w:hAnsi="Garamond" w:cs="Times New Roman"/>
          <w:b/>
          <w:iCs/>
          <w:sz w:val="23"/>
          <w:szCs w:val="23"/>
        </w:rPr>
        <w:t xml:space="preserve">eto </w:t>
      </w:r>
      <w:r w:rsidR="002121DF" w:rsidRPr="00783577">
        <w:rPr>
          <w:rFonts w:ascii="Garamond" w:hAnsi="Garamond" w:cs="Times New Roman"/>
          <w:b/>
          <w:iCs/>
          <w:sz w:val="23"/>
          <w:szCs w:val="23"/>
        </w:rPr>
        <w:t>L</w:t>
      </w:r>
      <w:r w:rsidR="008D566D" w:rsidRPr="00783577">
        <w:rPr>
          <w:rFonts w:ascii="Garamond" w:hAnsi="Garamond" w:cs="Times New Roman"/>
          <w:b/>
          <w:iCs/>
          <w:sz w:val="23"/>
          <w:szCs w:val="23"/>
        </w:rPr>
        <w:t>egge 16 luglio 2020, n. 76</w:t>
      </w:r>
      <w:r w:rsidR="008D566D" w:rsidRPr="00783577">
        <w:rPr>
          <w:rFonts w:ascii="Garamond" w:hAnsi="Garamond" w:cs="Times New Roman"/>
          <w:iCs/>
          <w:sz w:val="23"/>
          <w:szCs w:val="23"/>
        </w:rPr>
        <w:t>,</w:t>
      </w:r>
      <w:r w:rsidR="002121DF" w:rsidRPr="00783577">
        <w:t xml:space="preserve"> </w:t>
      </w:r>
      <w:r w:rsidR="002121DF" w:rsidRPr="00783577">
        <w:rPr>
          <w:rFonts w:ascii="Garamond" w:hAnsi="Garamond" w:cs="Times New Roman"/>
          <w:iCs/>
          <w:sz w:val="23"/>
          <w:szCs w:val="23"/>
        </w:rPr>
        <w:t>recante “Misure urgenti per la semplificazione e l’innovazione digitale”</w:t>
      </w:r>
      <w:r w:rsidR="00BB0B40" w:rsidRPr="00783577">
        <w:rPr>
          <w:rFonts w:ascii="Garamond" w:hAnsi="Garamond" w:cs="Times New Roman"/>
          <w:iCs/>
          <w:sz w:val="23"/>
          <w:szCs w:val="23"/>
        </w:rPr>
        <w:t>,</w:t>
      </w:r>
      <w:r w:rsidR="008D566D" w:rsidRPr="00783577">
        <w:rPr>
          <w:rFonts w:ascii="Garamond" w:hAnsi="Garamond" w:cs="Times New Roman"/>
          <w:iCs/>
          <w:sz w:val="23"/>
          <w:szCs w:val="23"/>
        </w:rPr>
        <w:t xml:space="preserve"> </w:t>
      </w:r>
      <w:bookmarkEnd w:id="64"/>
      <w:r w:rsidR="008D566D" w:rsidRPr="00783577">
        <w:rPr>
          <w:rFonts w:ascii="Garamond" w:hAnsi="Garamond" w:cs="Times New Roman"/>
          <w:iCs/>
          <w:sz w:val="23"/>
          <w:szCs w:val="23"/>
        </w:rPr>
        <w:t xml:space="preserve">al fine di incentivare gli investimenti pubblici nel settore delle infrastrutture e dei servizi pubblici e fronteggiare le ricadute economiche negative a seguito delle misure di contenimento e dell’emergenza sanitaria globale da COVID-19, </w:t>
      </w:r>
      <w:r w:rsidRPr="00783577">
        <w:rPr>
          <w:rFonts w:ascii="Garamond" w:hAnsi="Garamond" w:cs="Times New Roman"/>
          <w:iCs/>
          <w:sz w:val="23"/>
          <w:szCs w:val="23"/>
        </w:rPr>
        <w:t>ha introdotto previsioni di semplificazione per gli affidamenti dei contratt</w:t>
      </w:r>
      <w:r w:rsidR="008D566D" w:rsidRPr="00783577">
        <w:rPr>
          <w:rFonts w:ascii="Garamond" w:hAnsi="Garamond" w:cs="Times New Roman"/>
          <w:iCs/>
          <w:sz w:val="23"/>
          <w:szCs w:val="23"/>
        </w:rPr>
        <w:t xml:space="preserve">i pubblici sotto e sopra soglia, anche mediante deroghe al Codice dei contratti e ad altre disposizioni. </w:t>
      </w:r>
      <w:r w:rsidR="002121DF" w:rsidRPr="00783577">
        <w:rPr>
          <w:rFonts w:ascii="Garamond" w:hAnsi="Garamond" w:cs="Times New Roman"/>
          <w:iCs/>
          <w:sz w:val="23"/>
          <w:szCs w:val="23"/>
        </w:rPr>
        <w:t>N</w:t>
      </w:r>
      <w:r w:rsidR="008D566D" w:rsidRPr="00783577">
        <w:rPr>
          <w:rFonts w:ascii="Garamond" w:hAnsi="Garamond" w:cs="Times New Roman"/>
          <w:iCs/>
          <w:sz w:val="23"/>
          <w:szCs w:val="23"/>
        </w:rPr>
        <w:t>onostante le deroghe introdotte, il legislatore ha</w:t>
      </w:r>
      <w:r w:rsidR="002121DF" w:rsidRPr="00783577">
        <w:rPr>
          <w:rFonts w:ascii="Garamond" w:hAnsi="Garamond" w:cs="Times New Roman"/>
          <w:iCs/>
          <w:sz w:val="23"/>
          <w:szCs w:val="23"/>
        </w:rPr>
        <w:t xml:space="preserve">, tuttavia, </w:t>
      </w:r>
      <w:r w:rsidR="008D566D" w:rsidRPr="00783577">
        <w:rPr>
          <w:rFonts w:ascii="Garamond" w:hAnsi="Garamond" w:cs="Times New Roman"/>
          <w:iCs/>
          <w:sz w:val="23"/>
          <w:szCs w:val="23"/>
        </w:rPr>
        <w:t>fatto salve le misure di trasparenza per tutti gli atti delle procedure di affidamento semplificate. In particolare, per gli appalti sotto soglia</w:t>
      </w:r>
      <w:r w:rsidR="007D7C90" w:rsidRPr="00783577">
        <w:rPr>
          <w:rFonts w:ascii="Garamond" w:hAnsi="Garamond" w:cs="Times New Roman"/>
          <w:iCs/>
          <w:sz w:val="23"/>
          <w:szCs w:val="23"/>
        </w:rPr>
        <w:t xml:space="preserve">, </w:t>
      </w:r>
      <w:r w:rsidR="008D566D" w:rsidRPr="00783577">
        <w:rPr>
          <w:rFonts w:ascii="Garamond" w:hAnsi="Garamond" w:cs="Times New Roman"/>
          <w:iCs/>
          <w:sz w:val="23"/>
          <w:szCs w:val="23"/>
        </w:rPr>
        <w:t xml:space="preserve">l’art. 1, co. 2, </w:t>
      </w:r>
      <w:proofErr w:type="spellStart"/>
      <w:r w:rsidR="008D566D" w:rsidRPr="00783577">
        <w:rPr>
          <w:rFonts w:ascii="Garamond" w:hAnsi="Garamond" w:cs="Times New Roman"/>
          <w:iCs/>
          <w:sz w:val="23"/>
          <w:szCs w:val="23"/>
        </w:rPr>
        <w:t>lett</w:t>
      </w:r>
      <w:proofErr w:type="spellEnd"/>
      <w:r w:rsidR="008D566D" w:rsidRPr="00783577">
        <w:rPr>
          <w:rFonts w:ascii="Garamond" w:hAnsi="Garamond" w:cs="Times New Roman"/>
          <w:iCs/>
          <w:sz w:val="23"/>
          <w:szCs w:val="23"/>
        </w:rPr>
        <w:t>. b),</w:t>
      </w:r>
      <w:r w:rsidR="007D7C90" w:rsidRPr="00783577">
        <w:rPr>
          <w:rFonts w:ascii="Garamond" w:hAnsi="Garamond" w:cs="Times New Roman"/>
          <w:iCs/>
          <w:sz w:val="23"/>
          <w:szCs w:val="23"/>
        </w:rPr>
        <w:t xml:space="preserve"> del</w:t>
      </w:r>
      <w:r w:rsidR="008D566D" w:rsidRPr="00783577">
        <w:rPr>
          <w:rFonts w:ascii="Garamond" w:hAnsi="Garamond" w:cs="Times New Roman"/>
          <w:iCs/>
          <w:sz w:val="23"/>
          <w:szCs w:val="23"/>
        </w:rPr>
        <w:t xml:space="preserve"> d.lgs. n. 76/2020 ha introdotto specifiche esclusioni solo in caso di affidamento di contratti di importo inferiore a 40.000 euro.</w:t>
      </w:r>
    </w:p>
    <w:p w14:paraId="1921F919" w14:textId="37CDB9DB" w:rsidR="00474D95" w:rsidRPr="00783577" w:rsidRDefault="008D566D" w:rsidP="00474D95">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783577">
        <w:rPr>
          <w:rFonts w:ascii="Garamond" w:hAnsi="Garamond" w:cs="Times New Roman"/>
          <w:iCs/>
          <w:sz w:val="23"/>
          <w:szCs w:val="23"/>
        </w:rPr>
        <w:t xml:space="preserve">Il </w:t>
      </w:r>
      <w:r w:rsidR="00474D95" w:rsidRPr="00783577">
        <w:rPr>
          <w:rFonts w:ascii="Garamond" w:hAnsi="Garamond" w:cs="Times New Roman"/>
          <w:b/>
          <w:iCs/>
          <w:sz w:val="23"/>
          <w:szCs w:val="23"/>
        </w:rPr>
        <w:t>D</w:t>
      </w:r>
      <w:r w:rsidRPr="00783577">
        <w:rPr>
          <w:rFonts w:ascii="Garamond" w:hAnsi="Garamond" w:cs="Times New Roman"/>
          <w:b/>
          <w:iCs/>
          <w:sz w:val="23"/>
          <w:szCs w:val="23"/>
        </w:rPr>
        <w:t>ecreto</w:t>
      </w:r>
      <w:r w:rsidR="0018272D" w:rsidRPr="00783577">
        <w:rPr>
          <w:rFonts w:ascii="Garamond" w:hAnsi="Garamond" w:cs="Times New Roman"/>
          <w:b/>
          <w:iCs/>
          <w:sz w:val="23"/>
          <w:szCs w:val="23"/>
        </w:rPr>
        <w:t xml:space="preserve"> </w:t>
      </w:r>
      <w:r w:rsidR="00474D95" w:rsidRPr="00783577">
        <w:rPr>
          <w:rFonts w:ascii="Garamond" w:hAnsi="Garamond" w:cs="Times New Roman"/>
          <w:b/>
          <w:iCs/>
          <w:sz w:val="23"/>
          <w:szCs w:val="23"/>
        </w:rPr>
        <w:t>L</w:t>
      </w:r>
      <w:r w:rsidRPr="00783577">
        <w:rPr>
          <w:rFonts w:ascii="Garamond" w:hAnsi="Garamond" w:cs="Times New Roman"/>
          <w:b/>
          <w:iCs/>
          <w:sz w:val="23"/>
          <w:szCs w:val="23"/>
        </w:rPr>
        <w:t>egge 31 maggio 2021, n. 77</w:t>
      </w:r>
      <w:r w:rsidR="00783577" w:rsidRPr="00783577">
        <w:rPr>
          <w:rFonts w:ascii="Garamond" w:hAnsi="Garamond" w:cs="Times New Roman"/>
          <w:b/>
          <w:iCs/>
          <w:sz w:val="23"/>
          <w:szCs w:val="23"/>
        </w:rPr>
        <w:t>,</w:t>
      </w:r>
      <w:r w:rsidR="00474D95" w:rsidRPr="00783577">
        <w:rPr>
          <w:rFonts w:ascii="Garamond" w:hAnsi="Garamond" w:cs="Times New Roman"/>
          <w:iCs/>
          <w:sz w:val="23"/>
          <w:szCs w:val="23"/>
        </w:rPr>
        <w:t xml:space="preserve"> recante “</w:t>
      </w:r>
      <w:proofErr w:type="spellStart"/>
      <w:r w:rsidR="00474D95" w:rsidRPr="00783577">
        <w:rPr>
          <w:rFonts w:ascii="Garamond" w:hAnsi="Garamond" w:cs="Times New Roman"/>
          <w:b/>
          <w:bCs/>
          <w:i/>
          <w:sz w:val="23"/>
          <w:szCs w:val="23"/>
        </w:rPr>
        <w:t>Governance</w:t>
      </w:r>
      <w:proofErr w:type="spellEnd"/>
      <w:r w:rsidR="00474D95" w:rsidRPr="00783577">
        <w:rPr>
          <w:rFonts w:ascii="Garamond" w:hAnsi="Garamond" w:cs="Times New Roman"/>
          <w:b/>
          <w:bCs/>
          <w:i/>
          <w:sz w:val="23"/>
          <w:szCs w:val="23"/>
        </w:rPr>
        <w:t xml:space="preserve"> del Piano Nazionale di ripresa e resilienza e prime misure di rafforzamento delle strutture amministrative e di accelerazione e snellimento delle procedure</w:t>
      </w:r>
      <w:r w:rsidR="00474D95" w:rsidRPr="00783577">
        <w:rPr>
          <w:rFonts w:ascii="Garamond" w:hAnsi="Garamond" w:cs="Times New Roman"/>
          <w:iCs/>
          <w:sz w:val="23"/>
          <w:szCs w:val="23"/>
        </w:rPr>
        <w:t xml:space="preserve">”, ha, poi, definito il quadro normativo nazionale finalizzato a semplificare e agevolare la realizzazione dei traguardi e degli obiettivi previsti nel medesimo Piano, di cui al </w:t>
      </w:r>
      <w:r w:rsidR="00783577" w:rsidRPr="00783577">
        <w:rPr>
          <w:rFonts w:ascii="Garamond" w:hAnsi="Garamond" w:cs="Times New Roman"/>
          <w:iCs/>
          <w:sz w:val="23"/>
          <w:szCs w:val="23"/>
        </w:rPr>
        <w:t xml:space="preserve">regolamento (UE) 2021/241 del </w:t>
      </w:r>
      <w:r w:rsidR="00474D95" w:rsidRPr="00783577">
        <w:rPr>
          <w:rFonts w:ascii="Garamond" w:hAnsi="Garamond" w:cs="Times New Roman"/>
          <w:iCs/>
          <w:sz w:val="23"/>
          <w:szCs w:val="23"/>
        </w:rPr>
        <w:t>Parlamento europeo e del Consiglio del 12 febbraio 2021, dal Piano nazionale per</w:t>
      </w:r>
      <w:r w:rsidR="0018272D" w:rsidRPr="00783577">
        <w:rPr>
          <w:rFonts w:ascii="Garamond" w:hAnsi="Garamond" w:cs="Times New Roman"/>
          <w:iCs/>
          <w:sz w:val="23"/>
          <w:szCs w:val="23"/>
        </w:rPr>
        <w:t xml:space="preserve"> </w:t>
      </w:r>
      <w:r w:rsidR="00474D95" w:rsidRPr="00783577">
        <w:rPr>
          <w:rFonts w:ascii="Garamond" w:hAnsi="Garamond" w:cs="Times New Roman"/>
          <w:iCs/>
          <w:sz w:val="23"/>
          <w:szCs w:val="23"/>
        </w:rPr>
        <w:t>gli investimenti complementari di cui al decreto-legge 6 maggio 2021,</w:t>
      </w:r>
      <w:r w:rsidR="0018272D" w:rsidRPr="00783577">
        <w:rPr>
          <w:rFonts w:ascii="Garamond" w:hAnsi="Garamond" w:cs="Times New Roman"/>
          <w:iCs/>
          <w:sz w:val="23"/>
          <w:szCs w:val="23"/>
        </w:rPr>
        <w:t xml:space="preserve"> </w:t>
      </w:r>
      <w:r w:rsidR="00474D95" w:rsidRPr="00783577">
        <w:rPr>
          <w:rFonts w:ascii="Garamond" w:hAnsi="Garamond" w:cs="Times New Roman"/>
          <w:iCs/>
          <w:sz w:val="23"/>
          <w:szCs w:val="23"/>
        </w:rPr>
        <w:t>n. 59, nonch</w:t>
      </w:r>
      <w:r w:rsidR="0018272D" w:rsidRPr="00783577">
        <w:rPr>
          <w:rFonts w:ascii="Garamond" w:hAnsi="Garamond" w:cs="Times New Roman"/>
          <w:iCs/>
          <w:sz w:val="23"/>
          <w:szCs w:val="23"/>
        </w:rPr>
        <w:t>é</w:t>
      </w:r>
      <w:r w:rsidR="00474D95" w:rsidRPr="00783577">
        <w:rPr>
          <w:rFonts w:ascii="Garamond" w:hAnsi="Garamond" w:cs="Times New Roman"/>
          <w:iCs/>
          <w:sz w:val="23"/>
          <w:szCs w:val="23"/>
        </w:rPr>
        <w:t xml:space="preserve"> dal Piano Nazionale Integrato per l'Energia e il Clima</w:t>
      </w:r>
      <w:r w:rsidR="0018272D" w:rsidRPr="00783577">
        <w:rPr>
          <w:rFonts w:ascii="Garamond" w:hAnsi="Garamond" w:cs="Times New Roman"/>
          <w:iCs/>
          <w:sz w:val="23"/>
          <w:szCs w:val="23"/>
        </w:rPr>
        <w:t xml:space="preserve"> </w:t>
      </w:r>
      <w:r w:rsidR="00474D95" w:rsidRPr="00783577">
        <w:rPr>
          <w:rFonts w:ascii="Garamond" w:hAnsi="Garamond" w:cs="Times New Roman"/>
          <w:iCs/>
          <w:sz w:val="23"/>
          <w:szCs w:val="23"/>
        </w:rPr>
        <w:t>2030 di cui al Regolamento (UE) 2018/1999 del  Parlamento  europeo  e</w:t>
      </w:r>
      <w:r w:rsidR="0018272D" w:rsidRPr="00783577">
        <w:rPr>
          <w:rFonts w:ascii="Garamond" w:hAnsi="Garamond" w:cs="Times New Roman"/>
          <w:iCs/>
          <w:sz w:val="23"/>
          <w:szCs w:val="23"/>
        </w:rPr>
        <w:t xml:space="preserve"> </w:t>
      </w:r>
      <w:r w:rsidR="00474D95" w:rsidRPr="00783577">
        <w:rPr>
          <w:rFonts w:ascii="Garamond" w:hAnsi="Garamond" w:cs="Times New Roman"/>
          <w:iCs/>
          <w:sz w:val="23"/>
          <w:szCs w:val="23"/>
        </w:rPr>
        <w:t>del Consiglio dell'11 dicembre 20</w:t>
      </w:r>
      <w:r w:rsidR="0018272D" w:rsidRPr="00783577">
        <w:rPr>
          <w:rFonts w:ascii="Garamond" w:hAnsi="Garamond" w:cs="Times New Roman"/>
          <w:iCs/>
          <w:sz w:val="23"/>
          <w:szCs w:val="23"/>
        </w:rPr>
        <w:t>18.</w:t>
      </w:r>
    </w:p>
    <w:p w14:paraId="7F1DE217" w14:textId="78E73918" w:rsidR="0018272D" w:rsidRPr="00783577" w:rsidRDefault="0018272D" w:rsidP="007D7C90">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783577">
        <w:rPr>
          <w:rFonts w:ascii="Garamond" w:hAnsi="Garamond" w:cs="Times New Roman"/>
          <w:iCs/>
          <w:sz w:val="23"/>
          <w:szCs w:val="23"/>
        </w:rPr>
        <w:t>In tal senso, ha dettato, tra l’altro, una serie di disposizioni dirette a perseguire la finalità di promozione di pari opportunità, sia generazionali che di genere, di promozione dell’inclusione lavorativa delle persone disabili, di tutela della concorrenza, nonché volte a</w:t>
      </w:r>
      <w:r w:rsidR="005C50A4" w:rsidRPr="00783577">
        <w:rPr>
          <w:rFonts w:ascii="Garamond" w:hAnsi="Garamond" w:cs="Times New Roman"/>
          <w:iCs/>
          <w:sz w:val="23"/>
          <w:szCs w:val="23"/>
        </w:rPr>
        <w:t xml:space="preserve"> incrementare le attività in capo al RUP e a </w:t>
      </w:r>
      <w:r w:rsidRPr="00783577">
        <w:rPr>
          <w:rFonts w:ascii="Garamond" w:hAnsi="Garamond" w:cs="Times New Roman"/>
          <w:iCs/>
          <w:sz w:val="23"/>
          <w:szCs w:val="23"/>
        </w:rPr>
        <w:t>stabilire una serie di specifiche misure semplificatorie sia in fase di affidamento che di esecuzione dei contratti pubblici PNRR e PNC.</w:t>
      </w:r>
    </w:p>
    <w:p w14:paraId="0ACE34B1" w14:textId="160F9F43" w:rsidR="007D7C90" w:rsidRPr="007F683E" w:rsidRDefault="0018272D" w:rsidP="007D7C90">
      <w:pPr>
        <w:tabs>
          <w:tab w:val="left" w:pos="9354"/>
        </w:tabs>
        <w:autoSpaceDE w:val="0"/>
        <w:autoSpaceDN w:val="0"/>
        <w:adjustRightInd w:val="0"/>
        <w:spacing w:after="0" w:line="276" w:lineRule="auto"/>
        <w:ind w:right="-1"/>
        <w:jc w:val="both"/>
        <w:rPr>
          <w:rFonts w:ascii="Garamond" w:hAnsi="Garamond" w:cs="Times New Roman"/>
          <w:iCs/>
          <w:strike/>
          <w:sz w:val="23"/>
          <w:szCs w:val="23"/>
        </w:rPr>
      </w:pPr>
      <w:r w:rsidRPr="007F683E">
        <w:rPr>
          <w:rFonts w:ascii="Garamond" w:hAnsi="Garamond" w:cs="Times New Roman"/>
          <w:iCs/>
          <w:sz w:val="23"/>
          <w:szCs w:val="23"/>
        </w:rPr>
        <w:t xml:space="preserve">Il D.L. 77/2021 ha, inoltre, </w:t>
      </w:r>
      <w:r w:rsidR="008D566D" w:rsidRPr="007F683E">
        <w:rPr>
          <w:rFonts w:ascii="Garamond" w:hAnsi="Garamond" w:cs="Times New Roman"/>
          <w:iCs/>
          <w:sz w:val="23"/>
          <w:szCs w:val="23"/>
        </w:rPr>
        <w:t>da un lato inciso sul regime “ordinario” dei contratti pubblici,</w:t>
      </w:r>
      <w:r w:rsidRPr="007F683E">
        <w:rPr>
          <w:rFonts w:ascii="Garamond" w:hAnsi="Garamond" w:cs="Times New Roman"/>
          <w:iCs/>
          <w:sz w:val="23"/>
          <w:szCs w:val="23"/>
        </w:rPr>
        <w:t xml:space="preserve"> </w:t>
      </w:r>
      <w:r w:rsidR="008D566D" w:rsidRPr="007F683E">
        <w:rPr>
          <w:rFonts w:ascii="Garamond" w:hAnsi="Garamond" w:cs="Times New Roman"/>
          <w:iCs/>
          <w:sz w:val="23"/>
          <w:szCs w:val="23"/>
        </w:rPr>
        <w:t xml:space="preserve">da un altro lato è intervenuto sulla normativa derogatoria già introdotta dal sopracitato </w:t>
      </w:r>
      <w:proofErr w:type="spellStart"/>
      <w:r w:rsidR="008D566D" w:rsidRPr="007F683E">
        <w:rPr>
          <w:rFonts w:ascii="Garamond" w:hAnsi="Garamond" w:cs="Times New Roman"/>
          <w:iCs/>
          <w:sz w:val="23"/>
          <w:szCs w:val="23"/>
        </w:rPr>
        <w:t>d.l.</w:t>
      </w:r>
      <w:proofErr w:type="spellEnd"/>
      <w:r w:rsidR="008D566D" w:rsidRPr="007F683E">
        <w:rPr>
          <w:rFonts w:ascii="Garamond" w:hAnsi="Garamond" w:cs="Times New Roman"/>
          <w:iCs/>
          <w:sz w:val="23"/>
          <w:szCs w:val="23"/>
        </w:rPr>
        <w:t xml:space="preserve"> n. 76/2020 e su altre disposizioni derogatorie in materia, come il </w:t>
      </w:r>
      <w:proofErr w:type="spellStart"/>
      <w:r w:rsidR="008D566D" w:rsidRPr="007F683E">
        <w:rPr>
          <w:rFonts w:ascii="Garamond" w:hAnsi="Garamond" w:cs="Times New Roman"/>
          <w:iCs/>
          <w:sz w:val="23"/>
          <w:szCs w:val="23"/>
        </w:rPr>
        <w:t>d.l.</w:t>
      </w:r>
      <w:proofErr w:type="spellEnd"/>
      <w:r w:rsidR="008D566D" w:rsidRPr="007F683E">
        <w:rPr>
          <w:rFonts w:ascii="Garamond" w:hAnsi="Garamond" w:cs="Times New Roman"/>
          <w:iCs/>
          <w:sz w:val="23"/>
          <w:szCs w:val="23"/>
        </w:rPr>
        <w:t xml:space="preserve"> n. 32/2019.</w:t>
      </w:r>
    </w:p>
    <w:p w14:paraId="3FC3B7B4" w14:textId="46FE013B" w:rsidR="0018272D" w:rsidRPr="008E4F62" w:rsidRDefault="0018272D" w:rsidP="007D7C90">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8E4F62">
        <w:rPr>
          <w:rFonts w:ascii="Garamond" w:hAnsi="Garamond" w:cs="Times New Roman"/>
          <w:iCs/>
          <w:sz w:val="23"/>
          <w:szCs w:val="23"/>
        </w:rPr>
        <w:t>Anche la L. n. 238/2021 recante “</w:t>
      </w:r>
      <w:r w:rsidRPr="008E4F62">
        <w:rPr>
          <w:rFonts w:ascii="Garamond" w:hAnsi="Garamond" w:cs="Times New Roman"/>
          <w:i/>
          <w:iCs/>
          <w:sz w:val="23"/>
          <w:szCs w:val="23"/>
        </w:rPr>
        <w:t>Disposizioni per l'adempimento degli obblighi derivanti dall'appartenenza dell'Italia all'Unione europea - Legge europea 2019-2020</w:t>
      </w:r>
      <w:r w:rsidRPr="008E4F62">
        <w:rPr>
          <w:rFonts w:ascii="Garamond" w:hAnsi="Garamond" w:cs="Times New Roman"/>
          <w:iCs/>
          <w:sz w:val="23"/>
          <w:szCs w:val="23"/>
        </w:rPr>
        <w:t>”  è intervenuta sulla materia dei contratti pubblici con disposizioni connesse al ruolo e alle funzioni del responsabile unico del procedimento (RUP), alle procedure di affidamento dei servizi attinenti all'architettura e all'ingegneria, ai motivi di esclusione dalla partecipazione alla gara di un operatore economico, nonché agli adempimenti a carico del direttore dei lavori, dell’esecutore e del responsabile unico del procedimento, in materia di adozione dello stato di avanzamento dei lavori e del relativo certificato di pagamento.</w:t>
      </w:r>
    </w:p>
    <w:p w14:paraId="4EB71A03" w14:textId="534061BB" w:rsidR="008D566D" w:rsidRDefault="007D7C90" w:rsidP="007D7C90">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18272D">
        <w:rPr>
          <w:rFonts w:ascii="Garamond" w:hAnsi="Garamond" w:cs="Times New Roman"/>
          <w:iCs/>
          <w:sz w:val="23"/>
          <w:szCs w:val="23"/>
        </w:rPr>
        <w:t xml:space="preserve">In considerazione di quanto evidenziato è possibile constatare come, ad oggi, il settore della contrattualistica pubblica sia governato da una mole rilevante di norme che, sebbene concentrate in gran parte all’interno del </w:t>
      </w:r>
      <w:r w:rsidRPr="0018272D">
        <w:rPr>
          <w:rFonts w:ascii="Garamond" w:hAnsi="Garamond" w:cs="Times New Roman"/>
          <w:iCs/>
          <w:sz w:val="23"/>
          <w:szCs w:val="23"/>
        </w:rPr>
        <w:lastRenderedPageBreak/>
        <w:t>Codice dei contratti pubblici di cui al d.lgs. n. 50/2016 in un’ottica di coerenza e unitarietà, risultano, tuttavia, essere state in parte modificate, in parte differenziate nel proprio ambito applicativo sia temporale che oggettivo dal complesso degli interventi legislativi citati, a conferma del carattere multiforme e diversificato che connota la materia in questione.</w:t>
      </w:r>
    </w:p>
    <w:p w14:paraId="0374EAFA" w14:textId="0AFCF2F5" w:rsidR="00FA647D" w:rsidRPr="00121E81" w:rsidRDefault="00FA647D" w:rsidP="00FA647D">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121E81">
        <w:rPr>
          <w:rFonts w:ascii="Garamond" w:hAnsi="Garamond" w:cs="Times New Roman"/>
          <w:iCs/>
          <w:sz w:val="23"/>
          <w:szCs w:val="23"/>
        </w:rPr>
        <w:t>Tale insieme di norme ha creato una legislazione “speciale”, complessa e non sempre chiara, con il conseguente rischio di amplificare i rischi corruttivi e di cattiva amministrazione tipici dei contratti pubblici e che possono presentarsi non solo in fase di affidamento ma anche di gestione dei medesimi contratti.  dall’Amministrazione Regionale.</w:t>
      </w:r>
    </w:p>
    <w:p w14:paraId="250163D8" w14:textId="58B0B828" w:rsidR="00FA647D" w:rsidRDefault="00FA647D" w:rsidP="00FA647D">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033905">
        <w:rPr>
          <w:rFonts w:ascii="Garamond" w:hAnsi="Garamond" w:cs="Times New Roman"/>
          <w:iCs/>
          <w:sz w:val="23"/>
          <w:szCs w:val="23"/>
          <w:highlight w:val="yellow"/>
        </w:rPr>
        <w:t xml:space="preserve">Le misure di trasparenza introdotte nell’Allegato C alla presente </w:t>
      </w:r>
      <w:r w:rsidR="003352E2" w:rsidRPr="00033905">
        <w:rPr>
          <w:rFonts w:ascii="Garamond" w:hAnsi="Garamond" w:cs="Times New Roman"/>
          <w:iCs/>
          <w:sz w:val="23"/>
          <w:szCs w:val="23"/>
          <w:highlight w:val="yellow"/>
        </w:rPr>
        <w:t>S</w:t>
      </w:r>
      <w:r w:rsidRPr="00033905">
        <w:rPr>
          <w:rFonts w:ascii="Garamond" w:hAnsi="Garamond" w:cs="Times New Roman"/>
          <w:iCs/>
          <w:sz w:val="23"/>
          <w:szCs w:val="23"/>
          <w:highlight w:val="yellow"/>
        </w:rPr>
        <w:t xml:space="preserve">ottosezione (evidenziate </w:t>
      </w:r>
      <w:r w:rsidRPr="00C932F8">
        <w:rPr>
          <w:rFonts w:ascii="Garamond" w:hAnsi="Garamond" w:cs="Times New Roman"/>
          <w:iCs/>
          <w:sz w:val="23"/>
          <w:szCs w:val="23"/>
          <w:highlight w:val="yellow"/>
        </w:rPr>
        <w:t>in giallo al fine della più agevole individuazione</w:t>
      </w:r>
      <w:r w:rsidR="00521A5A" w:rsidRPr="00C932F8">
        <w:rPr>
          <w:rFonts w:ascii="Garamond" w:hAnsi="Garamond" w:cs="Times New Roman"/>
          <w:iCs/>
          <w:sz w:val="23"/>
          <w:szCs w:val="23"/>
          <w:highlight w:val="yellow"/>
        </w:rPr>
        <w:t xml:space="preserve"> in fase di consultazione</w:t>
      </w:r>
      <w:r w:rsidRPr="00033905">
        <w:rPr>
          <w:rFonts w:ascii="Garamond" w:hAnsi="Garamond" w:cs="Times New Roman"/>
          <w:iCs/>
          <w:sz w:val="23"/>
          <w:szCs w:val="23"/>
          <w:highlight w:val="yellow"/>
        </w:rPr>
        <w:t xml:space="preserve">) </w:t>
      </w:r>
      <w:r w:rsidR="003352E2" w:rsidRPr="00033905">
        <w:rPr>
          <w:rFonts w:ascii="Garamond" w:hAnsi="Garamond" w:cs="Times New Roman"/>
          <w:iCs/>
          <w:sz w:val="23"/>
          <w:szCs w:val="23"/>
          <w:highlight w:val="yellow"/>
        </w:rPr>
        <w:t>e le</w:t>
      </w:r>
      <w:r w:rsidR="003352E2" w:rsidRPr="00033905">
        <w:rPr>
          <w:highlight w:val="yellow"/>
        </w:rPr>
        <w:t xml:space="preserve"> </w:t>
      </w:r>
      <w:r w:rsidR="003352E2" w:rsidRPr="00033905">
        <w:rPr>
          <w:rFonts w:ascii="Garamond" w:hAnsi="Garamond" w:cs="Times New Roman"/>
          <w:iCs/>
          <w:sz w:val="23"/>
          <w:szCs w:val="23"/>
          <w:highlight w:val="yellow"/>
        </w:rPr>
        <w:t xml:space="preserve">misure di prevenzione della corruzione </w:t>
      </w:r>
      <w:r w:rsidRPr="00033905">
        <w:rPr>
          <w:rFonts w:ascii="Garamond" w:hAnsi="Garamond" w:cs="Times New Roman"/>
          <w:iCs/>
          <w:sz w:val="23"/>
          <w:szCs w:val="23"/>
          <w:highlight w:val="yellow"/>
        </w:rPr>
        <w:t>introdotte</w:t>
      </w:r>
      <w:r w:rsidR="002533CF" w:rsidRPr="00033905">
        <w:rPr>
          <w:rFonts w:ascii="Garamond" w:hAnsi="Garamond" w:cs="Times New Roman"/>
          <w:iCs/>
          <w:sz w:val="23"/>
          <w:szCs w:val="23"/>
          <w:highlight w:val="yellow"/>
        </w:rPr>
        <w:t>,</w:t>
      </w:r>
      <w:r w:rsidRPr="00033905">
        <w:rPr>
          <w:rFonts w:ascii="Garamond" w:hAnsi="Garamond" w:cs="Times New Roman"/>
          <w:iCs/>
          <w:sz w:val="23"/>
          <w:szCs w:val="23"/>
          <w:highlight w:val="yellow"/>
        </w:rPr>
        <w:t xml:space="preserve"> </w:t>
      </w:r>
      <w:r w:rsidR="002533CF" w:rsidRPr="00033905">
        <w:rPr>
          <w:rFonts w:ascii="Garamond" w:hAnsi="Garamond" w:cs="Times New Roman"/>
          <w:iCs/>
          <w:sz w:val="23"/>
          <w:szCs w:val="23"/>
          <w:highlight w:val="yellow"/>
        </w:rPr>
        <w:t xml:space="preserve">come elemento di novità rispetto alle previgenti misure, </w:t>
      </w:r>
      <w:r w:rsidRPr="00033905">
        <w:rPr>
          <w:rFonts w:ascii="Garamond" w:hAnsi="Garamond" w:cs="Times New Roman"/>
          <w:iCs/>
          <w:sz w:val="23"/>
          <w:szCs w:val="23"/>
          <w:highlight w:val="yellow"/>
        </w:rPr>
        <w:t xml:space="preserve">nell’Allegato </w:t>
      </w:r>
      <w:r w:rsidR="00F91026" w:rsidRPr="00033905">
        <w:rPr>
          <w:rFonts w:ascii="Garamond" w:hAnsi="Garamond" w:cs="Times New Roman"/>
          <w:iCs/>
          <w:sz w:val="23"/>
          <w:szCs w:val="23"/>
          <w:highlight w:val="yellow"/>
        </w:rPr>
        <w:t>“</w:t>
      </w:r>
      <w:r w:rsidR="003352E2" w:rsidRPr="00033905">
        <w:rPr>
          <w:rFonts w:ascii="Garamond" w:hAnsi="Garamond" w:cs="Times New Roman"/>
          <w:iCs/>
          <w:sz w:val="23"/>
          <w:szCs w:val="23"/>
          <w:highlight w:val="yellow"/>
        </w:rPr>
        <w:t>A</w:t>
      </w:r>
      <w:r w:rsidR="00F91026" w:rsidRPr="00033905">
        <w:rPr>
          <w:rFonts w:ascii="Garamond" w:hAnsi="Garamond" w:cs="Times New Roman"/>
          <w:iCs/>
          <w:sz w:val="23"/>
          <w:szCs w:val="23"/>
          <w:highlight w:val="yellow"/>
        </w:rPr>
        <w:t xml:space="preserve"> bis”</w:t>
      </w:r>
      <w:r w:rsidRPr="00033905">
        <w:rPr>
          <w:rFonts w:ascii="Garamond" w:hAnsi="Garamond" w:cs="Times New Roman"/>
          <w:iCs/>
          <w:sz w:val="23"/>
          <w:szCs w:val="23"/>
          <w:highlight w:val="yellow"/>
        </w:rPr>
        <w:t xml:space="preserve"> alla presente </w:t>
      </w:r>
      <w:r w:rsidR="003352E2" w:rsidRPr="00033905">
        <w:rPr>
          <w:rFonts w:ascii="Garamond" w:hAnsi="Garamond" w:cs="Times New Roman"/>
          <w:iCs/>
          <w:sz w:val="23"/>
          <w:szCs w:val="23"/>
          <w:highlight w:val="yellow"/>
        </w:rPr>
        <w:t>S</w:t>
      </w:r>
      <w:r w:rsidR="002533CF" w:rsidRPr="00033905">
        <w:rPr>
          <w:rFonts w:ascii="Garamond" w:hAnsi="Garamond" w:cs="Times New Roman"/>
          <w:iCs/>
          <w:sz w:val="23"/>
          <w:szCs w:val="23"/>
          <w:highlight w:val="yellow"/>
        </w:rPr>
        <w:t>ottosezione</w:t>
      </w:r>
      <w:r w:rsidRPr="001837EE">
        <w:rPr>
          <w:rFonts w:ascii="Garamond" w:hAnsi="Garamond" w:cs="Times New Roman"/>
          <w:iCs/>
          <w:sz w:val="23"/>
          <w:szCs w:val="23"/>
        </w:rPr>
        <w:t xml:space="preserve"> </w:t>
      </w:r>
      <w:r w:rsidR="002533CF" w:rsidRPr="00033905">
        <w:rPr>
          <w:rFonts w:ascii="Garamond" w:hAnsi="Garamond" w:cs="Times New Roman"/>
          <w:iCs/>
          <w:sz w:val="23"/>
          <w:szCs w:val="23"/>
          <w:highlight w:val="yellow"/>
        </w:rPr>
        <w:t>(</w:t>
      </w:r>
      <w:r w:rsidRPr="00033905">
        <w:rPr>
          <w:rFonts w:ascii="Garamond" w:hAnsi="Garamond" w:cs="Times New Roman"/>
          <w:iCs/>
          <w:sz w:val="23"/>
          <w:szCs w:val="23"/>
          <w:highlight w:val="yellow"/>
        </w:rPr>
        <w:t xml:space="preserve">specificatamente dedicate ai contratti in deroga e ai contratti pubblici a valere su </w:t>
      </w:r>
      <w:r w:rsidR="002533CF" w:rsidRPr="00033905">
        <w:rPr>
          <w:rFonts w:ascii="Garamond" w:hAnsi="Garamond" w:cs="Times New Roman"/>
          <w:iCs/>
          <w:sz w:val="23"/>
          <w:szCs w:val="23"/>
          <w:highlight w:val="yellow"/>
        </w:rPr>
        <w:t>risorse del PNRR e del PNC</w:t>
      </w:r>
      <w:r w:rsidR="002533CF" w:rsidRPr="001837EE">
        <w:rPr>
          <w:rFonts w:ascii="Garamond" w:hAnsi="Garamond" w:cs="Times New Roman"/>
          <w:iCs/>
          <w:sz w:val="23"/>
          <w:szCs w:val="23"/>
        </w:rPr>
        <w:t>) sono quindi finalizzate</w:t>
      </w:r>
      <w:r w:rsidRPr="001837EE">
        <w:rPr>
          <w:rFonts w:ascii="Garamond" w:hAnsi="Garamond" w:cs="Times New Roman"/>
          <w:iCs/>
          <w:sz w:val="23"/>
          <w:szCs w:val="23"/>
        </w:rPr>
        <w:t xml:space="preserve"> a supportare i RUP nella predisposizione dei bandi e nella gestione dei contratti su aspetti</w:t>
      </w:r>
      <w:r w:rsidR="00521A5A" w:rsidRPr="001837EE">
        <w:rPr>
          <w:rFonts w:ascii="Garamond" w:hAnsi="Garamond" w:cs="Times New Roman"/>
          <w:iCs/>
          <w:sz w:val="23"/>
          <w:szCs w:val="23"/>
        </w:rPr>
        <w:t xml:space="preserve"> </w:t>
      </w:r>
      <w:r w:rsidRPr="001837EE">
        <w:rPr>
          <w:rFonts w:ascii="Garamond" w:hAnsi="Garamond" w:cs="Times New Roman"/>
          <w:iCs/>
          <w:sz w:val="23"/>
          <w:szCs w:val="23"/>
        </w:rPr>
        <w:t xml:space="preserve">la cui valenza ha già portato l’ANAC ad apportare modifiche al bando tipo </w:t>
      </w:r>
      <w:r w:rsidR="001C01E6" w:rsidRPr="001837EE">
        <w:rPr>
          <w:rFonts w:ascii="Garamond" w:hAnsi="Garamond" w:cs="Times New Roman"/>
          <w:iCs/>
          <w:sz w:val="23"/>
          <w:szCs w:val="23"/>
        </w:rPr>
        <w:t>n.</w:t>
      </w:r>
      <w:r w:rsidR="00521A5A" w:rsidRPr="001837EE">
        <w:rPr>
          <w:rFonts w:ascii="Garamond" w:hAnsi="Garamond" w:cs="Times New Roman"/>
          <w:iCs/>
          <w:sz w:val="23"/>
          <w:szCs w:val="23"/>
        </w:rPr>
        <w:t xml:space="preserve"> </w:t>
      </w:r>
      <w:r w:rsidR="001C01E6" w:rsidRPr="001837EE">
        <w:rPr>
          <w:rFonts w:ascii="Garamond" w:hAnsi="Garamond" w:cs="Times New Roman"/>
          <w:iCs/>
          <w:sz w:val="23"/>
          <w:szCs w:val="23"/>
        </w:rPr>
        <w:t>1/</w:t>
      </w:r>
      <w:r w:rsidRPr="001837EE">
        <w:rPr>
          <w:rFonts w:ascii="Garamond" w:hAnsi="Garamond" w:cs="Times New Roman"/>
          <w:iCs/>
          <w:sz w:val="23"/>
          <w:szCs w:val="23"/>
        </w:rPr>
        <w:t>2021</w:t>
      </w:r>
      <w:r w:rsidR="001C01E6" w:rsidRPr="001837EE">
        <w:rPr>
          <w:rFonts w:ascii="Garamond" w:hAnsi="Garamond" w:cs="Times New Roman"/>
          <w:iCs/>
          <w:sz w:val="23"/>
          <w:szCs w:val="23"/>
        </w:rPr>
        <w:t>, a integrare le informazioni da pubblicare in Amministrazione Trasparente con quelle relative alla fase esecutiva dei contratti</w:t>
      </w:r>
      <w:r w:rsidR="00521A5A" w:rsidRPr="001837EE">
        <w:rPr>
          <w:rFonts w:ascii="Garamond" w:hAnsi="Garamond" w:cs="Times New Roman"/>
          <w:iCs/>
          <w:sz w:val="23"/>
          <w:szCs w:val="23"/>
        </w:rPr>
        <w:t>,</w:t>
      </w:r>
      <w:r w:rsidR="001C01E6" w:rsidRPr="001837EE">
        <w:rPr>
          <w:rFonts w:ascii="Garamond" w:hAnsi="Garamond" w:cs="Times New Roman"/>
          <w:iCs/>
          <w:sz w:val="23"/>
          <w:szCs w:val="23"/>
        </w:rPr>
        <w:t xml:space="preserve"> nonché a prevedere numerose misure </w:t>
      </w:r>
      <w:r w:rsidR="002533CF" w:rsidRPr="00C932F8">
        <w:rPr>
          <w:rFonts w:ascii="Garamond" w:hAnsi="Garamond" w:cs="Times New Roman"/>
          <w:iCs/>
          <w:sz w:val="23"/>
          <w:szCs w:val="23"/>
        </w:rPr>
        <w:t xml:space="preserve">aggiuntive </w:t>
      </w:r>
      <w:r w:rsidR="001C01E6" w:rsidRPr="001837EE">
        <w:rPr>
          <w:rFonts w:ascii="Garamond" w:hAnsi="Garamond" w:cs="Times New Roman"/>
          <w:iCs/>
          <w:sz w:val="23"/>
          <w:szCs w:val="23"/>
        </w:rPr>
        <w:t>di prevenzione della corruzione</w:t>
      </w:r>
      <w:r w:rsidR="00C932F8">
        <w:rPr>
          <w:rFonts w:ascii="Garamond" w:hAnsi="Garamond" w:cs="Times New Roman"/>
          <w:iCs/>
          <w:sz w:val="23"/>
          <w:szCs w:val="23"/>
        </w:rPr>
        <w:t>.</w:t>
      </w:r>
    </w:p>
    <w:p w14:paraId="0AAB44BF" w14:textId="1698D1E3" w:rsidR="00AC386F" w:rsidRDefault="00AC386F" w:rsidP="00C06FFD">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121E81">
        <w:rPr>
          <w:rFonts w:ascii="Garamond" w:hAnsi="Garamond" w:cs="Times New Roman"/>
          <w:iCs/>
          <w:sz w:val="23"/>
          <w:szCs w:val="23"/>
        </w:rPr>
        <w:t xml:space="preserve">Le strutture </w:t>
      </w:r>
      <w:r w:rsidR="00E14093" w:rsidRPr="00121E81">
        <w:rPr>
          <w:rFonts w:ascii="Garamond" w:hAnsi="Garamond" w:cs="Times New Roman"/>
          <w:iCs/>
          <w:sz w:val="23"/>
          <w:szCs w:val="23"/>
        </w:rPr>
        <w:t>interessate po</w:t>
      </w:r>
      <w:r w:rsidR="00121E81" w:rsidRPr="00121E81">
        <w:rPr>
          <w:rFonts w:ascii="Garamond" w:hAnsi="Garamond" w:cs="Times New Roman"/>
          <w:iCs/>
          <w:sz w:val="23"/>
          <w:szCs w:val="23"/>
        </w:rPr>
        <w:t>tranno inoltre</w:t>
      </w:r>
      <w:r w:rsidR="00E14093" w:rsidRPr="00121E81">
        <w:rPr>
          <w:rFonts w:ascii="Garamond" w:hAnsi="Garamond" w:cs="Times New Roman"/>
          <w:iCs/>
          <w:sz w:val="23"/>
          <w:szCs w:val="23"/>
        </w:rPr>
        <w:t xml:space="preserve"> avvalersi</w:t>
      </w:r>
      <w:r w:rsidR="00CD0565" w:rsidRPr="00121E81">
        <w:rPr>
          <w:rFonts w:ascii="Garamond" w:hAnsi="Garamond" w:cs="Times New Roman"/>
          <w:iCs/>
          <w:sz w:val="23"/>
          <w:szCs w:val="23"/>
        </w:rPr>
        <w:t xml:space="preserve">, </w:t>
      </w:r>
      <w:r w:rsidR="001C01E6" w:rsidRPr="00121E81">
        <w:rPr>
          <w:rFonts w:ascii="Garamond" w:hAnsi="Garamond" w:cs="Times New Roman"/>
          <w:iCs/>
          <w:sz w:val="23"/>
          <w:szCs w:val="23"/>
        </w:rPr>
        <w:t xml:space="preserve">in via facoltativa ma consigliata, </w:t>
      </w:r>
      <w:r w:rsidR="00CD0565" w:rsidRPr="00121E81">
        <w:rPr>
          <w:rFonts w:ascii="Garamond" w:hAnsi="Garamond" w:cs="Times New Roman"/>
          <w:iCs/>
          <w:sz w:val="23"/>
          <w:szCs w:val="23"/>
        </w:rPr>
        <w:t xml:space="preserve">per la preparazione e il successivo controllo degli atti di specifiche tipologie di affidamento, delle </w:t>
      </w:r>
      <w:proofErr w:type="spellStart"/>
      <w:r w:rsidR="00CD0565" w:rsidRPr="00121E81">
        <w:rPr>
          <w:rFonts w:ascii="Garamond" w:hAnsi="Garamond" w:cs="Times New Roman"/>
          <w:iCs/>
          <w:sz w:val="23"/>
          <w:szCs w:val="23"/>
        </w:rPr>
        <w:t>check</w:t>
      </w:r>
      <w:proofErr w:type="spellEnd"/>
      <w:r w:rsidR="00CD0565" w:rsidRPr="00121E81">
        <w:rPr>
          <w:rFonts w:ascii="Garamond" w:hAnsi="Garamond" w:cs="Times New Roman"/>
          <w:iCs/>
          <w:sz w:val="23"/>
          <w:szCs w:val="23"/>
        </w:rPr>
        <w:t xml:space="preserve">-list elaborate da ANAC per le procedure che, considerati i margini più ampi di discrezionalità concessi dalla normativa, possono comportare maggiori rischi corruttivi </w:t>
      </w:r>
      <w:r w:rsidR="00CD0565" w:rsidRPr="00033905">
        <w:rPr>
          <w:rFonts w:ascii="Garamond" w:hAnsi="Garamond" w:cs="Times New Roman"/>
          <w:iCs/>
          <w:sz w:val="23"/>
          <w:szCs w:val="23"/>
        </w:rPr>
        <w:t xml:space="preserve">o di </w:t>
      </w:r>
      <w:proofErr w:type="spellStart"/>
      <w:r w:rsidR="00CD0565" w:rsidRPr="00033905">
        <w:rPr>
          <w:rFonts w:ascii="Garamond" w:hAnsi="Garamond" w:cs="Times New Roman"/>
          <w:i/>
          <w:iCs/>
          <w:sz w:val="23"/>
          <w:szCs w:val="23"/>
        </w:rPr>
        <w:t>maladministration</w:t>
      </w:r>
      <w:proofErr w:type="spellEnd"/>
      <w:r w:rsidR="00CD0565" w:rsidRPr="00033905">
        <w:rPr>
          <w:rFonts w:ascii="Garamond" w:hAnsi="Garamond" w:cs="Times New Roman"/>
          <w:iCs/>
          <w:sz w:val="23"/>
          <w:szCs w:val="23"/>
        </w:rPr>
        <w:t xml:space="preserve"> (</w:t>
      </w:r>
      <w:proofErr w:type="spellStart"/>
      <w:r w:rsidR="00CD0565" w:rsidRPr="00033905">
        <w:rPr>
          <w:rFonts w:ascii="Garamond" w:hAnsi="Garamond" w:cs="Times New Roman"/>
          <w:iCs/>
          <w:sz w:val="23"/>
          <w:szCs w:val="23"/>
        </w:rPr>
        <w:t>All</w:t>
      </w:r>
      <w:proofErr w:type="spellEnd"/>
      <w:r w:rsidR="00CD0565" w:rsidRPr="00033905">
        <w:rPr>
          <w:rFonts w:ascii="Garamond" w:hAnsi="Garamond" w:cs="Times New Roman"/>
          <w:iCs/>
          <w:sz w:val="23"/>
          <w:szCs w:val="23"/>
        </w:rPr>
        <w:t>. 8 al PNA 2022</w:t>
      </w:r>
      <w:r w:rsidR="002533CF" w:rsidRPr="00033905">
        <w:rPr>
          <w:rFonts w:ascii="Garamond" w:hAnsi="Garamond" w:cs="Times New Roman"/>
          <w:iCs/>
          <w:sz w:val="23"/>
          <w:szCs w:val="23"/>
        </w:rPr>
        <w:t>,</w:t>
      </w:r>
      <w:r w:rsidR="002533CF" w:rsidRPr="00033905">
        <w:rPr>
          <w:rFonts w:ascii="Garamond" w:hAnsi="Garamond" w:cs="Times New Roman"/>
          <w:iCs/>
          <w:color w:val="FF0000"/>
          <w:sz w:val="23"/>
          <w:szCs w:val="23"/>
        </w:rPr>
        <w:t xml:space="preserve"> </w:t>
      </w:r>
      <w:r w:rsidR="002533CF" w:rsidRPr="00033905">
        <w:rPr>
          <w:rFonts w:ascii="Garamond" w:hAnsi="Garamond" w:cs="Times New Roman"/>
          <w:iCs/>
          <w:sz w:val="23"/>
          <w:szCs w:val="23"/>
        </w:rPr>
        <w:t>cui si rimanda</w:t>
      </w:r>
      <w:r w:rsidR="00CD0565" w:rsidRPr="00033905">
        <w:rPr>
          <w:rFonts w:ascii="Garamond" w:hAnsi="Garamond" w:cs="Times New Roman"/>
          <w:iCs/>
          <w:sz w:val="23"/>
          <w:szCs w:val="23"/>
        </w:rPr>
        <w:t>).</w:t>
      </w:r>
    </w:p>
    <w:p w14:paraId="7FB8BA97" w14:textId="77777777" w:rsidR="0068065D" w:rsidRDefault="0068065D" w:rsidP="00C06FFD">
      <w:pPr>
        <w:tabs>
          <w:tab w:val="left" w:pos="9354"/>
        </w:tabs>
        <w:autoSpaceDE w:val="0"/>
        <w:autoSpaceDN w:val="0"/>
        <w:adjustRightInd w:val="0"/>
        <w:spacing w:after="0" w:line="276" w:lineRule="auto"/>
        <w:ind w:right="-1"/>
        <w:jc w:val="both"/>
        <w:rPr>
          <w:rFonts w:ascii="Garamond" w:hAnsi="Garamond" w:cs="Times New Roman"/>
          <w:iCs/>
          <w:sz w:val="23"/>
          <w:szCs w:val="23"/>
        </w:rPr>
      </w:pPr>
    </w:p>
    <w:p w14:paraId="27600DAF" w14:textId="78D855DE" w:rsidR="00291E51" w:rsidRPr="0068065D" w:rsidRDefault="0068065D" w:rsidP="00C06FFD">
      <w:pPr>
        <w:tabs>
          <w:tab w:val="left" w:pos="9354"/>
        </w:tabs>
        <w:autoSpaceDE w:val="0"/>
        <w:autoSpaceDN w:val="0"/>
        <w:adjustRightInd w:val="0"/>
        <w:spacing w:after="0" w:line="276" w:lineRule="auto"/>
        <w:ind w:right="-1"/>
        <w:jc w:val="both"/>
        <w:rPr>
          <w:rFonts w:ascii="Garamond" w:hAnsi="Garamond" w:cs="Times New Roman"/>
          <w:b/>
          <w:i/>
          <w:iCs/>
          <w:sz w:val="23"/>
          <w:szCs w:val="23"/>
        </w:rPr>
      </w:pPr>
      <w:r w:rsidRPr="0068065D">
        <w:rPr>
          <w:rFonts w:ascii="Garamond" w:hAnsi="Garamond" w:cs="Times New Roman"/>
          <w:b/>
          <w:i/>
          <w:iCs/>
          <w:sz w:val="23"/>
          <w:szCs w:val="23"/>
        </w:rPr>
        <w:t>Il Conflitto di interesse nei contratti pubblici</w:t>
      </w:r>
    </w:p>
    <w:p w14:paraId="57736272" w14:textId="3974EFCA" w:rsidR="00F57879" w:rsidRPr="00405A0A" w:rsidRDefault="00353CF5" w:rsidP="00C06FFD">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033905">
        <w:rPr>
          <w:rFonts w:ascii="Garamond" w:hAnsi="Garamond" w:cs="Times New Roman"/>
          <w:iCs/>
          <w:sz w:val="23"/>
          <w:szCs w:val="23"/>
          <w:highlight w:val="yellow"/>
        </w:rPr>
        <w:t>In tema di conflitto di interessi</w:t>
      </w:r>
      <w:r w:rsidRPr="00405A0A">
        <w:rPr>
          <w:rFonts w:ascii="Garamond" w:hAnsi="Garamond" w:cs="Times New Roman"/>
          <w:iCs/>
          <w:sz w:val="23"/>
          <w:szCs w:val="23"/>
        </w:rPr>
        <w:t xml:space="preserve">, </w:t>
      </w:r>
      <w:r w:rsidR="00F57879" w:rsidRPr="00405A0A">
        <w:rPr>
          <w:rFonts w:ascii="Garamond" w:hAnsi="Garamond" w:cs="Times New Roman"/>
          <w:iCs/>
          <w:sz w:val="23"/>
          <w:szCs w:val="23"/>
        </w:rPr>
        <w:t>in coerenza con le disposizioni d</w:t>
      </w:r>
      <w:r w:rsidR="001779A8">
        <w:rPr>
          <w:rFonts w:ascii="Garamond" w:hAnsi="Garamond" w:cs="Times New Roman"/>
          <w:iCs/>
          <w:sz w:val="23"/>
          <w:szCs w:val="23"/>
        </w:rPr>
        <w:t xml:space="preserve">ell’art. 42 del </w:t>
      </w:r>
      <w:proofErr w:type="spellStart"/>
      <w:proofErr w:type="gramStart"/>
      <w:r w:rsidR="001779A8">
        <w:rPr>
          <w:rFonts w:ascii="Garamond" w:hAnsi="Garamond" w:cs="Times New Roman"/>
          <w:iCs/>
          <w:sz w:val="23"/>
          <w:szCs w:val="23"/>
        </w:rPr>
        <w:t>D.Lgs</w:t>
      </w:r>
      <w:proofErr w:type="gramEnd"/>
      <w:r w:rsidR="001779A8">
        <w:rPr>
          <w:rFonts w:ascii="Garamond" w:hAnsi="Garamond" w:cs="Times New Roman"/>
          <w:iCs/>
          <w:sz w:val="23"/>
          <w:szCs w:val="23"/>
        </w:rPr>
        <w:t>.</w:t>
      </w:r>
      <w:proofErr w:type="spellEnd"/>
      <w:r w:rsidR="001779A8">
        <w:rPr>
          <w:rFonts w:ascii="Garamond" w:hAnsi="Garamond" w:cs="Times New Roman"/>
          <w:iCs/>
          <w:sz w:val="23"/>
          <w:szCs w:val="23"/>
        </w:rPr>
        <w:t xml:space="preserve"> 50/2016 e  fermo restando</w:t>
      </w:r>
      <w:r w:rsidR="001779A8" w:rsidRPr="001779A8">
        <w:rPr>
          <w:rFonts w:ascii="Garamond" w:hAnsi="Garamond" w:cs="Times New Roman"/>
          <w:iCs/>
          <w:sz w:val="23"/>
          <w:szCs w:val="23"/>
        </w:rPr>
        <w:t xml:space="preserve"> la validità delle Linee Guida n. 15 dell’ANAC recanti “Individuazione e gestione dei conflitti di interesse nelle procedure di affidamento di contratti pubblici” adottate con Delibera numero 494 del 05 giugno 2019, cui si rinvia,</w:t>
      </w:r>
      <w:r w:rsidR="001779A8">
        <w:rPr>
          <w:rFonts w:ascii="Garamond" w:hAnsi="Garamond" w:cs="Times New Roman"/>
          <w:iCs/>
          <w:sz w:val="23"/>
          <w:szCs w:val="23"/>
        </w:rPr>
        <w:t xml:space="preserve"> </w:t>
      </w:r>
      <w:r w:rsidR="00F57879" w:rsidRPr="008C5D06">
        <w:rPr>
          <w:rFonts w:ascii="Garamond" w:hAnsi="Garamond" w:cs="Times New Roman"/>
          <w:iCs/>
          <w:sz w:val="23"/>
          <w:szCs w:val="23"/>
          <w:highlight w:val="yellow"/>
        </w:rPr>
        <w:t xml:space="preserve">sono state introdotte nell’Allegato </w:t>
      </w:r>
      <w:r w:rsidR="00DD19E3" w:rsidRPr="008C5D06">
        <w:rPr>
          <w:rFonts w:ascii="Garamond" w:hAnsi="Garamond" w:cs="Times New Roman"/>
          <w:iCs/>
          <w:sz w:val="23"/>
          <w:szCs w:val="23"/>
          <w:highlight w:val="yellow"/>
        </w:rPr>
        <w:t>A</w:t>
      </w:r>
      <w:r w:rsidR="00F57879" w:rsidRPr="008C5D06">
        <w:rPr>
          <w:rFonts w:ascii="Garamond" w:hAnsi="Garamond" w:cs="Times New Roman"/>
          <w:iCs/>
          <w:sz w:val="23"/>
          <w:szCs w:val="23"/>
          <w:highlight w:val="yellow"/>
        </w:rPr>
        <w:t xml:space="preserve"> alla presente </w:t>
      </w:r>
      <w:r w:rsidR="00DD19E3" w:rsidRPr="008C5D06">
        <w:rPr>
          <w:rFonts w:ascii="Garamond" w:hAnsi="Garamond" w:cs="Times New Roman"/>
          <w:iCs/>
          <w:sz w:val="23"/>
          <w:szCs w:val="23"/>
          <w:highlight w:val="yellow"/>
        </w:rPr>
        <w:t>Sottosezione</w:t>
      </w:r>
      <w:r w:rsidR="00F57879" w:rsidRPr="008C5D06">
        <w:rPr>
          <w:rFonts w:ascii="Garamond" w:hAnsi="Garamond" w:cs="Times New Roman"/>
          <w:iCs/>
          <w:sz w:val="23"/>
          <w:szCs w:val="23"/>
          <w:highlight w:val="yellow"/>
        </w:rPr>
        <w:t xml:space="preserve"> misure specifiche di prevenzione del rischio corruttivo </w:t>
      </w:r>
      <w:r w:rsidR="001779A8" w:rsidRPr="008C5D06">
        <w:rPr>
          <w:rFonts w:ascii="Garamond" w:hAnsi="Garamond" w:cs="Times New Roman"/>
          <w:iCs/>
          <w:sz w:val="23"/>
          <w:szCs w:val="23"/>
          <w:highlight w:val="yellow"/>
        </w:rPr>
        <w:t>– evidenziate in giallo</w:t>
      </w:r>
      <w:r w:rsidR="001779A8" w:rsidRPr="008C5D06">
        <w:rPr>
          <w:highlight w:val="yellow"/>
        </w:rPr>
        <w:t xml:space="preserve"> </w:t>
      </w:r>
      <w:r w:rsidR="001779A8" w:rsidRPr="008C5D06">
        <w:rPr>
          <w:rFonts w:ascii="Garamond" w:hAnsi="Garamond" w:cs="Times New Roman"/>
          <w:iCs/>
          <w:sz w:val="23"/>
          <w:szCs w:val="23"/>
          <w:highlight w:val="yellow"/>
        </w:rPr>
        <w:t>al fine della più agevole individuazione in fase di consultazione</w:t>
      </w:r>
      <w:r w:rsidR="001779A8">
        <w:rPr>
          <w:rFonts w:ascii="Garamond" w:hAnsi="Garamond" w:cs="Times New Roman"/>
          <w:iCs/>
          <w:sz w:val="23"/>
          <w:szCs w:val="23"/>
        </w:rPr>
        <w:t xml:space="preserve"> - </w:t>
      </w:r>
      <w:r w:rsidR="00F57879" w:rsidRPr="00405A0A">
        <w:rPr>
          <w:rFonts w:ascii="Garamond" w:hAnsi="Garamond" w:cs="Times New Roman"/>
          <w:iCs/>
          <w:sz w:val="23"/>
          <w:szCs w:val="23"/>
        </w:rPr>
        <w:t>con obblighi di rilascio, acquisizione e verifica di dichiarazioni sia in capo al RUP, figura centrale, che in capo a tutto il personale dipendente della Stazione Appaltante</w:t>
      </w:r>
      <w:r w:rsidR="00D24FF7" w:rsidRPr="00405A0A">
        <w:rPr>
          <w:rFonts w:ascii="Garamond" w:hAnsi="Garamond" w:cs="Times New Roman"/>
          <w:iCs/>
          <w:sz w:val="23"/>
          <w:szCs w:val="23"/>
        </w:rPr>
        <w:t xml:space="preserve"> e/o del Prestatore di Servizi che interviene nella procedura per conto della Stazione Appaltante</w:t>
      </w:r>
      <w:r w:rsidR="00F57879" w:rsidRPr="00405A0A">
        <w:rPr>
          <w:rFonts w:ascii="Garamond" w:hAnsi="Garamond" w:cs="Times New Roman"/>
          <w:iCs/>
          <w:sz w:val="23"/>
          <w:szCs w:val="23"/>
        </w:rPr>
        <w:t>, a prescindere dalla tipologia di contratto che lo lega alle stesse (ossia contratto a tempo determinato o contratto a tempo indeterminato) e a tutti coloro che, in base ad un valido titolo giuridico, legislativo o contrattuale, siano in grado di impegnare l’ente nei confronti dei terzi o comunque rivestano, di fatto o di diritto, un ruolo tale da poterne obiettivamente influenzare l’attività esterna</w:t>
      </w:r>
      <w:r w:rsidR="00D24FF7" w:rsidRPr="00405A0A">
        <w:rPr>
          <w:rFonts w:ascii="Garamond" w:hAnsi="Garamond" w:cs="Times New Roman"/>
          <w:iCs/>
          <w:sz w:val="23"/>
          <w:szCs w:val="23"/>
        </w:rPr>
        <w:t>.</w:t>
      </w:r>
      <w:r w:rsidR="00DD19E3" w:rsidRPr="00405A0A">
        <w:rPr>
          <w:rFonts w:ascii="Garamond" w:hAnsi="Garamond" w:cs="Times New Roman"/>
          <w:iCs/>
          <w:sz w:val="23"/>
          <w:szCs w:val="23"/>
        </w:rPr>
        <w:t xml:space="preserve"> </w:t>
      </w:r>
    </w:p>
    <w:p w14:paraId="64B7A117" w14:textId="183237FA" w:rsidR="00D24FF7" w:rsidRPr="00ED4D9F" w:rsidRDefault="00D24FF7" w:rsidP="00C06FFD">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ED4D9F">
        <w:rPr>
          <w:rFonts w:ascii="Garamond" w:hAnsi="Garamond" w:cs="Times New Roman"/>
          <w:iCs/>
          <w:sz w:val="23"/>
          <w:szCs w:val="23"/>
        </w:rPr>
        <w:t>Le situazioni di conflitto di interessi sono</w:t>
      </w:r>
      <w:r w:rsidR="005B5E59" w:rsidRPr="00ED4D9F">
        <w:rPr>
          <w:rFonts w:ascii="Garamond" w:hAnsi="Garamond" w:cs="Times New Roman"/>
          <w:iCs/>
          <w:sz w:val="23"/>
          <w:szCs w:val="23"/>
        </w:rPr>
        <w:t>, poi,</w:t>
      </w:r>
      <w:r w:rsidRPr="00ED4D9F">
        <w:rPr>
          <w:rFonts w:ascii="Garamond" w:hAnsi="Garamond" w:cs="Times New Roman"/>
          <w:iCs/>
          <w:sz w:val="23"/>
          <w:szCs w:val="23"/>
        </w:rPr>
        <w:t xml:space="preserve"> valutate anche nei confronti dei soggetti che intervengono nella fase e</w:t>
      </w:r>
      <w:r w:rsidR="00ED4D9F" w:rsidRPr="00ED4D9F">
        <w:rPr>
          <w:rFonts w:ascii="Garamond" w:hAnsi="Garamond" w:cs="Times New Roman"/>
          <w:iCs/>
          <w:sz w:val="23"/>
          <w:szCs w:val="23"/>
        </w:rPr>
        <w:t>secutiva dei contratti pubblici</w:t>
      </w:r>
      <w:r w:rsidRPr="00ED4D9F">
        <w:rPr>
          <w:rFonts w:ascii="Garamond" w:hAnsi="Garamond" w:cs="Times New Roman"/>
          <w:iCs/>
          <w:sz w:val="23"/>
          <w:szCs w:val="23"/>
        </w:rPr>
        <w:t>.</w:t>
      </w:r>
      <w:r w:rsidR="00B80FC9" w:rsidRPr="00B80FC9">
        <w:t xml:space="preserve"> </w:t>
      </w:r>
      <w:r w:rsidR="00B80FC9" w:rsidRPr="00B80FC9">
        <w:rPr>
          <w:rFonts w:ascii="Garamond" w:hAnsi="Garamond" w:cs="Times New Roman"/>
          <w:iCs/>
          <w:sz w:val="23"/>
          <w:szCs w:val="23"/>
        </w:rPr>
        <w:t>Proprio per il rilievo che assume la disciplina a tutela dei valori dell’imparzialità e del buon andamento dell’attività delle amministrazioni la stazione appaltante è</w:t>
      </w:r>
      <w:r w:rsidR="00B80FC9">
        <w:rPr>
          <w:rFonts w:ascii="Garamond" w:hAnsi="Garamond" w:cs="Times New Roman"/>
          <w:iCs/>
          <w:sz w:val="23"/>
          <w:szCs w:val="23"/>
        </w:rPr>
        <w:t>, infatti,</w:t>
      </w:r>
      <w:r w:rsidR="00B80FC9" w:rsidRPr="00B80FC9">
        <w:rPr>
          <w:rFonts w:ascii="Garamond" w:hAnsi="Garamond" w:cs="Times New Roman"/>
          <w:iCs/>
          <w:sz w:val="23"/>
          <w:szCs w:val="23"/>
        </w:rPr>
        <w:t xml:space="preserve"> tenuta a vigilare sulla corretta applicazione della disciplina durante tutte le fasi di una procedura di gara, ivi compresa la fase di ese</w:t>
      </w:r>
      <w:r w:rsidR="00B80FC9">
        <w:rPr>
          <w:rFonts w:ascii="Garamond" w:hAnsi="Garamond" w:cs="Times New Roman"/>
          <w:iCs/>
          <w:sz w:val="23"/>
          <w:szCs w:val="23"/>
        </w:rPr>
        <w:t>cuzione dei contratti pubblici.</w:t>
      </w:r>
    </w:p>
    <w:p w14:paraId="6659E0F1" w14:textId="475E49CA" w:rsidR="00D24FF7" w:rsidRPr="00ED4D9F" w:rsidRDefault="00D24FF7" w:rsidP="00C06FFD">
      <w:pPr>
        <w:tabs>
          <w:tab w:val="left" w:pos="9354"/>
        </w:tabs>
        <w:autoSpaceDE w:val="0"/>
        <w:autoSpaceDN w:val="0"/>
        <w:adjustRightInd w:val="0"/>
        <w:spacing w:after="0" w:line="276" w:lineRule="auto"/>
        <w:ind w:right="-1"/>
        <w:jc w:val="both"/>
        <w:rPr>
          <w:rFonts w:ascii="Garamond" w:hAnsi="Garamond" w:cs="Times New Roman"/>
          <w:iCs/>
          <w:sz w:val="23"/>
          <w:szCs w:val="23"/>
          <w:highlight w:val="yellow"/>
        </w:rPr>
      </w:pPr>
      <w:r w:rsidRPr="00ED4D9F">
        <w:rPr>
          <w:rFonts w:ascii="Garamond" w:hAnsi="Garamond" w:cs="Times New Roman"/>
          <w:iCs/>
          <w:sz w:val="23"/>
          <w:szCs w:val="23"/>
        </w:rPr>
        <w:t>Non sono previsti adempimenti a carico di quei soggetti che si limitano a svolgere attività di natura operativa o che intervengono marginalmente nella fase esecutiva</w:t>
      </w:r>
      <w:r w:rsidR="00DD19E3" w:rsidRPr="00ED4D9F">
        <w:rPr>
          <w:rFonts w:ascii="Garamond" w:hAnsi="Garamond" w:cs="Times New Roman"/>
          <w:iCs/>
          <w:sz w:val="23"/>
          <w:szCs w:val="23"/>
        </w:rPr>
        <w:t>.</w:t>
      </w:r>
    </w:p>
    <w:p w14:paraId="79C027E1" w14:textId="77777777" w:rsidR="00DE205A" w:rsidRDefault="00D24FF7" w:rsidP="00F57879">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C82883">
        <w:rPr>
          <w:rFonts w:ascii="Garamond" w:hAnsi="Garamond" w:cs="Times New Roman"/>
          <w:iCs/>
          <w:sz w:val="23"/>
          <w:szCs w:val="23"/>
        </w:rPr>
        <w:t>Come noto, l</w:t>
      </w:r>
      <w:r w:rsidR="00F57879" w:rsidRPr="00C82883">
        <w:rPr>
          <w:rFonts w:ascii="Garamond" w:hAnsi="Garamond" w:cs="Times New Roman"/>
          <w:iCs/>
          <w:sz w:val="23"/>
          <w:szCs w:val="23"/>
        </w:rPr>
        <w:t xml:space="preserve">’art. 42 del d.lgs. n. 50/2016 “Codice dei contratti pubblici” contiene </w:t>
      </w:r>
      <w:r w:rsidRPr="00C82883">
        <w:rPr>
          <w:rFonts w:ascii="Garamond" w:hAnsi="Garamond" w:cs="Times New Roman"/>
          <w:iCs/>
          <w:sz w:val="23"/>
          <w:szCs w:val="23"/>
        </w:rPr>
        <w:t xml:space="preserve">specifiche disposizioni al riguardo; al comma 2 </w:t>
      </w:r>
      <w:r w:rsidR="00F57879" w:rsidRPr="00C82883">
        <w:rPr>
          <w:rFonts w:ascii="Garamond" w:hAnsi="Garamond" w:cs="Times New Roman"/>
          <w:iCs/>
          <w:sz w:val="23"/>
          <w:szCs w:val="23"/>
        </w:rPr>
        <w:t>recita quanto segue: “</w:t>
      </w:r>
      <w:r w:rsidR="00F57879" w:rsidRPr="00C82883">
        <w:rPr>
          <w:rFonts w:ascii="Garamond" w:hAnsi="Garamond" w:cs="Times New Roman"/>
          <w:i/>
          <w:sz w:val="23"/>
          <w:szCs w:val="23"/>
        </w:rPr>
        <w:t>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n. 62</w:t>
      </w:r>
      <w:r w:rsidR="00F57879" w:rsidRPr="00C82883">
        <w:rPr>
          <w:rFonts w:ascii="Garamond" w:hAnsi="Garamond" w:cs="Times New Roman"/>
          <w:iCs/>
          <w:sz w:val="23"/>
          <w:szCs w:val="23"/>
        </w:rPr>
        <w:t xml:space="preserve">.”. </w:t>
      </w:r>
    </w:p>
    <w:p w14:paraId="44F2C500" w14:textId="67DFF75B" w:rsidR="00DE205A" w:rsidRDefault="00DE205A" w:rsidP="00F57879">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DE205A">
        <w:rPr>
          <w:rFonts w:ascii="Garamond" w:hAnsi="Garamond" w:cs="Times New Roman"/>
          <w:iCs/>
          <w:sz w:val="23"/>
          <w:szCs w:val="23"/>
        </w:rPr>
        <w:lastRenderedPageBreak/>
        <w:t xml:space="preserve">L’art. 42 si applica ai contratti d’appalto, subappalto e di concessione pubblici, sia nella fase di gara che in quella esecutiva, nei settori ordinari e speciali, sia sopra che </w:t>
      </w:r>
      <w:proofErr w:type="spellStart"/>
      <w:r w:rsidRPr="00DE205A">
        <w:rPr>
          <w:rFonts w:ascii="Garamond" w:hAnsi="Garamond" w:cs="Times New Roman"/>
          <w:iCs/>
          <w:sz w:val="23"/>
          <w:szCs w:val="23"/>
        </w:rPr>
        <w:t>sottosoglia</w:t>
      </w:r>
      <w:proofErr w:type="spellEnd"/>
      <w:r w:rsidRPr="00DE205A">
        <w:rPr>
          <w:rFonts w:ascii="Garamond" w:hAnsi="Garamond" w:cs="Times New Roman"/>
          <w:iCs/>
          <w:sz w:val="23"/>
          <w:szCs w:val="23"/>
        </w:rPr>
        <w:t>; trova altresì applicazione agli affidamenti gestiti mediante albi dei fornitori, con particolare riferimento agli affidamenti diretti. Rientrano nell’ambito oggettivo di applicazione del citato articolo, inoltre, i contratti pubblici e i contratti attivi esclusi dal Codice, ai quali infatti si applicano, ai sensi dell’art. 4 del Codice, i principi di imparzialità e parità di trattamento, la cui tutela è, fra l’altro, realizzabile mediante la prevenzione del conflitto di interessi</w:t>
      </w:r>
    </w:p>
    <w:p w14:paraId="2F8F28F9" w14:textId="6A4A718B" w:rsidR="00D24FF7" w:rsidRPr="00C82883" w:rsidRDefault="00F57879" w:rsidP="00F57879">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C82883">
        <w:rPr>
          <w:rFonts w:ascii="Garamond" w:hAnsi="Garamond" w:cs="Times New Roman"/>
          <w:iCs/>
          <w:sz w:val="23"/>
          <w:szCs w:val="23"/>
        </w:rPr>
        <w:t>Il comma 3 della medesima disposizione individua, quali rimedi nel caso in cui si verifichi il rischio di un possibile conflitto di interessi, “</w:t>
      </w:r>
      <w:r w:rsidRPr="00C82883">
        <w:rPr>
          <w:rFonts w:ascii="Garamond" w:hAnsi="Garamond" w:cs="Times New Roman"/>
          <w:i/>
          <w:sz w:val="23"/>
          <w:szCs w:val="23"/>
        </w:rPr>
        <w:t>l’obbligo di darne comunicazione alla stazione appaltante</w:t>
      </w:r>
      <w:r w:rsidRPr="00C82883">
        <w:rPr>
          <w:rFonts w:ascii="Garamond" w:hAnsi="Garamond" w:cs="Times New Roman"/>
          <w:iCs/>
          <w:sz w:val="23"/>
          <w:szCs w:val="23"/>
        </w:rPr>
        <w:t>” e di “</w:t>
      </w:r>
      <w:r w:rsidRPr="00C82883">
        <w:rPr>
          <w:rFonts w:ascii="Garamond" w:hAnsi="Garamond" w:cs="Times New Roman"/>
          <w:i/>
          <w:sz w:val="23"/>
          <w:szCs w:val="23"/>
        </w:rPr>
        <w:t>astenersi dal partecipare alla procedura di aggiudicazione degli appalti e delle concessioni</w:t>
      </w:r>
      <w:r w:rsidRPr="00C82883">
        <w:rPr>
          <w:rFonts w:ascii="Garamond" w:hAnsi="Garamond" w:cs="Times New Roman"/>
          <w:iCs/>
          <w:sz w:val="23"/>
          <w:szCs w:val="23"/>
        </w:rPr>
        <w:t xml:space="preserve">”, pena la responsabilità disciplinare del dipendente pubblico e fatte salve le ipotesi di responsabilità amministrativa e penale. </w:t>
      </w:r>
    </w:p>
    <w:p w14:paraId="130A32BF" w14:textId="12A70F8B" w:rsidR="00F57879" w:rsidRDefault="00F57879" w:rsidP="00F57879">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C82883">
        <w:rPr>
          <w:rFonts w:ascii="Garamond" w:hAnsi="Garamond" w:cs="Times New Roman"/>
          <w:iCs/>
          <w:sz w:val="23"/>
          <w:szCs w:val="23"/>
        </w:rPr>
        <w:t xml:space="preserve">La disposizione in esame va coordinata inoltre con l’art. 80, co. 5, </w:t>
      </w:r>
      <w:proofErr w:type="spellStart"/>
      <w:r w:rsidRPr="00C82883">
        <w:rPr>
          <w:rFonts w:ascii="Garamond" w:hAnsi="Garamond" w:cs="Times New Roman"/>
          <w:iCs/>
          <w:sz w:val="23"/>
          <w:szCs w:val="23"/>
        </w:rPr>
        <w:t>lett</w:t>
      </w:r>
      <w:proofErr w:type="spellEnd"/>
      <w:r w:rsidRPr="00C82883">
        <w:rPr>
          <w:rFonts w:ascii="Garamond" w:hAnsi="Garamond" w:cs="Times New Roman"/>
          <w:iCs/>
          <w:sz w:val="23"/>
          <w:szCs w:val="23"/>
        </w:rPr>
        <w:t>. d) del Codice dei contratti pubblici secondo cui l’operatore economico è escluso dalla gara quando la sua partecipazione determini una situazione di conflitto di interessi ai sensi dell’art. 42, co. 2, del Codice dei contratti pubblici che non sia diversamente risolvibile</w:t>
      </w:r>
      <w:r w:rsidR="00C82883">
        <w:rPr>
          <w:rFonts w:ascii="Garamond" w:hAnsi="Garamond" w:cs="Times New Roman"/>
          <w:iCs/>
          <w:sz w:val="23"/>
          <w:szCs w:val="23"/>
        </w:rPr>
        <w:t>.</w:t>
      </w:r>
    </w:p>
    <w:p w14:paraId="2E0C0CE2" w14:textId="27FF9592" w:rsidR="00291E51" w:rsidRDefault="005531BC" w:rsidP="00F57879">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3E5D1B">
        <w:rPr>
          <w:rFonts w:ascii="Garamond" w:hAnsi="Garamond" w:cs="Times New Roman"/>
          <w:iCs/>
          <w:sz w:val="23"/>
          <w:szCs w:val="23"/>
        </w:rPr>
        <w:t>Per quanto concerne i contratti che utilizzano i fondi PNRR e fondi strutturali si ritiene che, in un’ottica di rafforzamento dei presidi di prevenzione, in aderenza agli indirizzi dell’ANAC, i dipendenti, per ciascuna procedura di gara in cui siano coinvolti, forniscano un aggiornamento della dichiarazione con le informazioni significative in relazione all’oggetto dell’affidamento;  n</w:t>
      </w:r>
      <w:r w:rsidR="00291E51" w:rsidRPr="003E5D1B">
        <w:rPr>
          <w:rFonts w:ascii="Garamond" w:hAnsi="Garamond" w:cs="Times New Roman"/>
          <w:iCs/>
          <w:sz w:val="23"/>
          <w:szCs w:val="23"/>
        </w:rPr>
        <w:t>el caso in cui emergano successivamente, nel corso delle varie fasi dell’affidamento, ipotesi di conflitto di interessi non dichiarate, occorre integrare detta dichiarazione. Anche i soggetti esterni, cui sono affidati incarichi in relazione a uno specifico contratto, sono tenuti a rendere la dichiarazione per la verifica dell’insussistenza di conflitti di interessi. I dipendenti rendono la dichiarazione riferita alla singola procedura di gara al responsabile dell’ufficio di appartenenza e al RUP</w:t>
      </w:r>
      <w:r w:rsidRPr="003E5D1B">
        <w:rPr>
          <w:rFonts w:ascii="Garamond" w:hAnsi="Garamond" w:cs="Times New Roman"/>
          <w:iCs/>
          <w:sz w:val="23"/>
          <w:szCs w:val="23"/>
        </w:rPr>
        <w:t>.</w:t>
      </w:r>
    </w:p>
    <w:p w14:paraId="1319BA51" w14:textId="7A958F45" w:rsidR="005531BC" w:rsidRDefault="005531BC" w:rsidP="00F57879">
      <w:pPr>
        <w:tabs>
          <w:tab w:val="left" w:pos="9354"/>
        </w:tabs>
        <w:autoSpaceDE w:val="0"/>
        <w:autoSpaceDN w:val="0"/>
        <w:adjustRightInd w:val="0"/>
        <w:spacing w:after="0" w:line="276" w:lineRule="auto"/>
        <w:ind w:right="-1"/>
        <w:jc w:val="both"/>
        <w:rPr>
          <w:rFonts w:ascii="Garamond" w:hAnsi="Garamond" w:cs="Times New Roman"/>
          <w:iCs/>
          <w:sz w:val="23"/>
          <w:szCs w:val="23"/>
        </w:rPr>
      </w:pPr>
      <w:r>
        <w:rPr>
          <w:rFonts w:ascii="Garamond" w:hAnsi="Garamond" w:cs="Times New Roman"/>
          <w:iCs/>
          <w:sz w:val="23"/>
          <w:szCs w:val="23"/>
        </w:rPr>
        <w:t>P</w:t>
      </w:r>
      <w:r w:rsidRPr="005531BC">
        <w:rPr>
          <w:rFonts w:ascii="Garamond" w:hAnsi="Garamond" w:cs="Times New Roman"/>
          <w:iCs/>
          <w:sz w:val="23"/>
          <w:szCs w:val="23"/>
        </w:rPr>
        <w:t xml:space="preserve">er i contratti che non utilizzano fondi PNRR e fondi strutturali, resta fermo l’orientamento espresso da ANAC nelle LL.GG. n. 15/2019 che prevedono una dichiarazione solo al momento dell’assegnazione all’ufficio o dell’attribuzione dell’incarico. Resta fermo l’obbligo di rendere la dichiarazione ove i soggetti tenuti ritengano - alla luce dell’art. 6 del DPR n. 62/2013 </w:t>
      </w:r>
      <w:r>
        <w:rPr>
          <w:rFonts w:ascii="Garamond" w:hAnsi="Garamond" w:cs="Times New Roman"/>
          <w:iCs/>
          <w:sz w:val="23"/>
          <w:szCs w:val="23"/>
        </w:rPr>
        <w:t xml:space="preserve">- </w:t>
      </w:r>
      <w:r w:rsidRPr="005531BC">
        <w:rPr>
          <w:rFonts w:ascii="Garamond" w:hAnsi="Garamond" w:cs="Times New Roman"/>
          <w:iCs/>
          <w:sz w:val="23"/>
          <w:szCs w:val="23"/>
        </w:rPr>
        <w:t xml:space="preserve">di trovarsi in una situazione di conflitto di interessi, anche potenziale, rispetto alla specifica procedura di gara e alle circostanze conosciute che potrebbero far insorgere detta situazione. </w:t>
      </w:r>
    </w:p>
    <w:p w14:paraId="650D8EDF" w14:textId="5DF3DDF4" w:rsidR="005531BC" w:rsidRDefault="001779A8" w:rsidP="00F57879">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033905">
        <w:rPr>
          <w:rFonts w:ascii="Garamond" w:hAnsi="Garamond" w:cs="Times New Roman"/>
          <w:iCs/>
          <w:sz w:val="23"/>
          <w:szCs w:val="23"/>
          <w:highlight w:val="yellow"/>
        </w:rPr>
        <w:t xml:space="preserve">Sono state, altresì, inserite in Allegato A alcune </w:t>
      </w:r>
      <w:r w:rsidR="0068065D" w:rsidRPr="00033905">
        <w:rPr>
          <w:rFonts w:ascii="Garamond" w:hAnsi="Garamond" w:cs="Times New Roman"/>
          <w:iCs/>
          <w:sz w:val="23"/>
          <w:szCs w:val="23"/>
          <w:highlight w:val="yellow"/>
        </w:rPr>
        <w:t xml:space="preserve">misure </w:t>
      </w:r>
      <w:r w:rsidRPr="00033905">
        <w:rPr>
          <w:rFonts w:ascii="Garamond" w:hAnsi="Garamond" w:cs="Times New Roman"/>
          <w:iCs/>
          <w:sz w:val="23"/>
          <w:szCs w:val="23"/>
          <w:highlight w:val="yellow"/>
        </w:rPr>
        <w:t xml:space="preserve">gestionali e </w:t>
      </w:r>
      <w:r w:rsidR="0068065D" w:rsidRPr="00033905">
        <w:rPr>
          <w:rFonts w:ascii="Garamond" w:hAnsi="Garamond" w:cs="Times New Roman"/>
          <w:iCs/>
          <w:sz w:val="23"/>
          <w:szCs w:val="23"/>
          <w:highlight w:val="yellow"/>
        </w:rPr>
        <w:t xml:space="preserve">di prevenzione della corruzione raccomandate dall’ANAC nel PNA 2022 </w:t>
      </w:r>
      <w:r w:rsidRPr="00033905">
        <w:rPr>
          <w:rFonts w:ascii="Garamond" w:hAnsi="Garamond" w:cs="Times New Roman"/>
          <w:iCs/>
          <w:sz w:val="23"/>
          <w:szCs w:val="23"/>
          <w:highlight w:val="yellow"/>
        </w:rPr>
        <w:t>– evidenziate in giallo al fine della più agevole individuazione in fase di consultazione</w:t>
      </w:r>
      <w:r w:rsidRPr="001779A8">
        <w:rPr>
          <w:rFonts w:ascii="Garamond" w:hAnsi="Garamond" w:cs="Times New Roman"/>
          <w:iCs/>
          <w:sz w:val="23"/>
          <w:szCs w:val="23"/>
        </w:rPr>
        <w:t xml:space="preserve"> - </w:t>
      </w:r>
      <w:r>
        <w:rPr>
          <w:rFonts w:ascii="Garamond" w:hAnsi="Garamond" w:cs="Times New Roman"/>
          <w:iCs/>
          <w:sz w:val="23"/>
          <w:szCs w:val="23"/>
        </w:rPr>
        <w:t>che di seguito si riportano:</w:t>
      </w:r>
    </w:p>
    <w:p w14:paraId="44EEE5DD" w14:textId="77777777" w:rsidR="001779A8" w:rsidRPr="001779A8" w:rsidRDefault="001779A8" w:rsidP="001779A8">
      <w:pPr>
        <w:numPr>
          <w:ilvl w:val="0"/>
          <w:numId w:val="24"/>
        </w:numPr>
        <w:tabs>
          <w:tab w:val="left" w:pos="9354"/>
        </w:tabs>
        <w:autoSpaceDE w:val="0"/>
        <w:autoSpaceDN w:val="0"/>
        <w:adjustRightInd w:val="0"/>
        <w:spacing w:after="0" w:line="276" w:lineRule="auto"/>
        <w:ind w:right="-1"/>
        <w:jc w:val="both"/>
        <w:rPr>
          <w:rFonts w:ascii="Garamond" w:hAnsi="Garamond" w:cs="Times New Roman"/>
          <w:iCs/>
          <w:sz w:val="23"/>
          <w:szCs w:val="23"/>
        </w:rPr>
      </w:pPr>
      <w:r w:rsidRPr="001779A8">
        <w:rPr>
          <w:rFonts w:ascii="Garamond" w:hAnsi="Garamond" w:cs="Times New Roman"/>
          <w:iCs/>
          <w:sz w:val="23"/>
          <w:szCs w:val="23"/>
        </w:rPr>
        <w:t xml:space="preserve">RUP rende la dichiarazione al soggetto che lo ha nominato </w:t>
      </w:r>
      <w:proofErr w:type="gramStart"/>
      <w:r w:rsidRPr="001779A8">
        <w:rPr>
          <w:rFonts w:ascii="Garamond" w:hAnsi="Garamond" w:cs="Times New Roman"/>
          <w:iCs/>
          <w:sz w:val="23"/>
          <w:szCs w:val="23"/>
        </w:rPr>
        <w:t>e</w:t>
      </w:r>
      <w:proofErr w:type="gramEnd"/>
      <w:r w:rsidRPr="001779A8">
        <w:rPr>
          <w:rFonts w:ascii="Garamond" w:hAnsi="Garamond" w:cs="Times New Roman"/>
          <w:iCs/>
          <w:sz w:val="23"/>
          <w:szCs w:val="23"/>
        </w:rPr>
        <w:t xml:space="preserve"> al proprio superiore gerarchico;</w:t>
      </w:r>
    </w:p>
    <w:p w14:paraId="1BF5265B" w14:textId="77777777" w:rsidR="001779A8" w:rsidRPr="001779A8" w:rsidRDefault="001779A8" w:rsidP="001779A8">
      <w:pPr>
        <w:numPr>
          <w:ilvl w:val="0"/>
          <w:numId w:val="24"/>
        </w:numPr>
        <w:tabs>
          <w:tab w:val="left" w:pos="9354"/>
        </w:tabs>
        <w:autoSpaceDE w:val="0"/>
        <w:autoSpaceDN w:val="0"/>
        <w:adjustRightInd w:val="0"/>
        <w:spacing w:after="0" w:line="276" w:lineRule="auto"/>
        <w:ind w:right="-1"/>
        <w:jc w:val="both"/>
        <w:rPr>
          <w:rFonts w:ascii="Garamond" w:hAnsi="Garamond" w:cs="Times New Roman"/>
          <w:iCs/>
          <w:sz w:val="23"/>
          <w:szCs w:val="23"/>
        </w:rPr>
      </w:pPr>
      <w:r w:rsidRPr="001779A8">
        <w:rPr>
          <w:rFonts w:ascii="Garamond" w:hAnsi="Garamond" w:cs="Times New Roman"/>
          <w:iCs/>
          <w:sz w:val="23"/>
          <w:szCs w:val="23"/>
        </w:rPr>
        <w:t>in caso di soggetti esterni, le dichiarazioni sono rese al responsabile dell’ufficio competente alla nomina e al RUP;</w:t>
      </w:r>
    </w:p>
    <w:p w14:paraId="23C1A6AF" w14:textId="77777777" w:rsidR="001779A8" w:rsidRDefault="001779A8" w:rsidP="001779A8">
      <w:pPr>
        <w:numPr>
          <w:ilvl w:val="0"/>
          <w:numId w:val="24"/>
        </w:numPr>
        <w:tabs>
          <w:tab w:val="left" w:pos="9354"/>
        </w:tabs>
        <w:autoSpaceDE w:val="0"/>
        <w:autoSpaceDN w:val="0"/>
        <w:adjustRightInd w:val="0"/>
        <w:spacing w:after="0" w:line="276" w:lineRule="auto"/>
        <w:ind w:right="-1"/>
        <w:jc w:val="both"/>
        <w:rPr>
          <w:rFonts w:ascii="Garamond" w:hAnsi="Garamond" w:cs="Times New Roman"/>
          <w:iCs/>
          <w:sz w:val="23"/>
          <w:szCs w:val="23"/>
        </w:rPr>
      </w:pPr>
      <w:r w:rsidRPr="001779A8">
        <w:rPr>
          <w:rFonts w:ascii="Garamond" w:hAnsi="Garamond" w:cs="Times New Roman"/>
          <w:iCs/>
          <w:sz w:val="23"/>
          <w:szCs w:val="23"/>
        </w:rPr>
        <w:t xml:space="preserve">gli uffici che svolgono funzioni di stazione appaltante acquisiscono le dichiarazioni e provvedono a protocollare, raccogliere e conservare le stesse; </w:t>
      </w:r>
    </w:p>
    <w:p w14:paraId="48CEAB6E" w14:textId="4632BE77" w:rsidR="001779A8" w:rsidRPr="001779A8" w:rsidRDefault="001779A8" w:rsidP="001779A8">
      <w:pPr>
        <w:numPr>
          <w:ilvl w:val="0"/>
          <w:numId w:val="24"/>
        </w:numPr>
        <w:tabs>
          <w:tab w:val="left" w:pos="9354"/>
        </w:tabs>
        <w:autoSpaceDE w:val="0"/>
        <w:autoSpaceDN w:val="0"/>
        <w:adjustRightInd w:val="0"/>
        <w:spacing w:after="0" w:line="276" w:lineRule="auto"/>
        <w:ind w:right="-1"/>
        <w:jc w:val="both"/>
        <w:rPr>
          <w:rFonts w:ascii="Garamond" w:hAnsi="Garamond" w:cs="Times New Roman"/>
          <w:iCs/>
          <w:sz w:val="23"/>
          <w:szCs w:val="23"/>
        </w:rPr>
      </w:pPr>
      <w:r w:rsidRPr="001779A8">
        <w:rPr>
          <w:rFonts w:ascii="Garamond" w:hAnsi="Garamond" w:cs="Times New Roman"/>
          <w:iCs/>
          <w:sz w:val="23"/>
          <w:szCs w:val="23"/>
          <w:u w:val="single"/>
        </w:rPr>
        <w:t>gli uffici competenti della stazione appaltante</w:t>
      </w:r>
      <w:r w:rsidRPr="001779A8">
        <w:rPr>
          <w:rFonts w:ascii="Garamond" w:hAnsi="Garamond" w:cs="Times New Roman"/>
          <w:iCs/>
          <w:sz w:val="23"/>
          <w:szCs w:val="23"/>
        </w:rPr>
        <w:t xml:space="preserve"> possono effettuare controlli a campione sulle dichiarazioni, ivi comprese quelle del RUP. </w:t>
      </w:r>
      <w:r w:rsidRPr="001779A8">
        <w:rPr>
          <w:rFonts w:ascii="Garamond" w:hAnsi="Garamond" w:cs="Times New Roman"/>
          <w:iCs/>
          <w:sz w:val="23"/>
          <w:szCs w:val="23"/>
          <w:u w:val="single"/>
        </w:rPr>
        <w:t>Tali controlli devono però essere avviati ogni volta che sorga il sospetto della non veridicità delle informazioni riportate</w:t>
      </w:r>
      <w:r w:rsidRPr="001779A8">
        <w:rPr>
          <w:rFonts w:ascii="Garamond" w:hAnsi="Garamond" w:cs="Times New Roman"/>
          <w:iCs/>
          <w:sz w:val="23"/>
          <w:szCs w:val="23"/>
        </w:rPr>
        <w:t>. Le verifiche sono svolte in contraddittorio con il soggetto interessato e mediante, ad esempio, l’utilizzo di banche dati, liberamente accessibili relative a partecipazioni societarie o a gare pubbliche alle quali le stazioni appaltanti abbiano abilitazione (ad es. Telemaco, BDNCP), informazioni note o altri elementi a disposizione della stazione appaltante, nel rispetto della normativa sulla tutela della privacy.</w:t>
      </w:r>
    </w:p>
    <w:p w14:paraId="7F812C9C" w14:textId="46575216" w:rsidR="005531BC" w:rsidRDefault="008808E6" w:rsidP="00F57879">
      <w:pPr>
        <w:tabs>
          <w:tab w:val="left" w:pos="9354"/>
        </w:tabs>
        <w:autoSpaceDE w:val="0"/>
        <w:autoSpaceDN w:val="0"/>
        <w:adjustRightInd w:val="0"/>
        <w:spacing w:after="0" w:line="276" w:lineRule="auto"/>
        <w:ind w:right="-1"/>
        <w:jc w:val="both"/>
        <w:rPr>
          <w:rFonts w:ascii="Garamond" w:hAnsi="Garamond" w:cs="Times New Roman"/>
          <w:iCs/>
          <w:sz w:val="23"/>
          <w:szCs w:val="23"/>
        </w:rPr>
      </w:pPr>
      <w:r>
        <w:rPr>
          <w:rFonts w:ascii="Garamond" w:hAnsi="Garamond" w:cs="Times New Roman"/>
          <w:iCs/>
          <w:sz w:val="23"/>
          <w:szCs w:val="23"/>
        </w:rPr>
        <w:t>Le dichiarazioni sui conflitti di interessi devono</w:t>
      </w:r>
      <w:r w:rsidRPr="008808E6">
        <w:rPr>
          <w:rFonts w:ascii="Garamond" w:hAnsi="Garamond" w:cs="Times New Roman"/>
          <w:iCs/>
          <w:sz w:val="23"/>
          <w:szCs w:val="23"/>
        </w:rPr>
        <w:t xml:space="preserve"> esse</w:t>
      </w:r>
      <w:r>
        <w:rPr>
          <w:rFonts w:ascii="Garamond" w:hAnsi="Garamond" w:cs="Times New Roman"/>
          <w:iCs/>
          <w:sz w:val="23"/>
          <w:szCs w:val="23"/>
        </w:rPr>
        <w:t>re rese preventivamente e aggiornate</w:t>
      </w:r>
      <w:r w:rsidRPr="008808E6">
        <w:rPr>
          <w:rFonts w:ascii="Garamond" w:hAnsi="Garamond" w:cs="Times New Roman"/>
          <w:iCs/>
          <w:sz w:val="23"/>
          <w:szCs w:val="23"/>
        </w:rPr>
        <w:t xml:space="preserve"> tempestivamente, in caso di conflitti di interesse che insorgano successivamente nel corso delle diverse fasi della procedura di gara, ivi inclusa la fase esecutiva</w:t>
      </w:r>
      <w:r>
        <w:rPr>
          <w:rFonts w:ascii="Garamond" w:hAnsi="Garamond" w:cs="Times New Roman"/>
          <w:iCs/>
          <w:sz w:val="23"/>
          <w:szCs w:val="23"/>
        </w:rPr>
        <w:t xml:space="preserve">, </w:t>
      </w:r>
      <w:r w:rsidRPr="008808E6">
        <w:rPr>
          <w:rFonts w:ascii="Garamond" w:hAnsi="Garamond" w:cs="Times New Roman"/>
          <w:iCs/>
          <w:sz w:val="23"/>
          <w:szCs w:val="23"/>
        </w:rPr>
        <w:t>in modo da garantire l’immediata emersione dell’eventuale conflitto e consentire di assumere tutte le più opportune misure in proposito.</w:t>
      </w:r>
    </w:p>
    <w:p w14:paraId="01C123E1" w14:textId="4E4534CE" w:rsidR="00AB34C5" w:rsidRPr="0023079E" w:rsidRDefault="00585BA7" w:rsidP="007B32F7">
      <w:pPr>
        <w:tabs>
          <w:tab w:val="left" w:pos="9354"/>
        </w:tabs>
        <w:autoSpaceDE w:val="0"/>
        <w:autoSpaceDN w:val="0"/>
        <w:adjustRightInd w:val="0"/>
        <w:spacing w:after="0" w:line="276" w:lineRule="auto"/>
        <w:ind w:right="-1"/>
        <w:jc w:val="both"/>
        <w:rPr>
          <w:rFonts w:ascii="Garamond" w:hAnsi="Garamond" w:cs="Times New Roman"/>
          <w:iCs/>
          <w:sz w:val="23"/>
          <w:szCs w:val="23"/>
        </w:rPr>
      </w:pPr>
      <w:bookmarkStart w:id="65" w:name="_Hlk124790002"/>
      <w:r w:rsidRPr="0023079E">
        <w:rPr>
          <w:rFonts w:ascii="Garamond" w:hAnsi="Garamond" w:cs="Times New Roman"/>
          <w:iCs/>
          <w:sz w:val="23"/>
          <w:szCs w:val="23"/>
        </w:rPr>
        <w:lastRenderedPageBreak/>
        <w:t>In tema di affidamento di contratti pubblici</w:t>
      </w:r>
      <w:r w:rsidR="007B32F7" w:rsidRPr="0023079E">
        <w:rPr>
          <w:rFonts w:ascii="Garamond" w:hAnsi="Garamond" w:cs="Times New Roman"/>
          <w:iCs/>
          <w:sz w:val="23"/>
          <w:szCs w:val="23"/>
        </w:rPr>
        <w:t xml:space="preserve"> PNRR</w:t>
      </w:r>
      <w:r w:rsidR="00F91026">
        <w:rPr>
          <w:rFonts w:ascii="Garamond" w:hAnsi="Garamond" w:cs="Times New Roman"/>
          <w:iCs/>
          <w:sz w:val="23"/>
          <w:szCs w:val="23"/>
        </w:rPr>
        <w:t xml:space="preserve"> e PNC</w:t>
      </w:r>
      <w:r w:rsidR="007B32F7" w:rsidRPr="0023079E">
        <w:rPr>
          <w:rFonts w:ascii="Garamond" w:hAnsi="Garamond" w:cs="Times New Roman"/>
          <w:iCs/>
          <w:sz w:val="23"/>
          <w:szCs w:val="23"/>
        </w:rPr>
        <w:t xml:space="preserve">, poi, </w:t>
      </w:r>
      <w:r w:rsidRPr="0023079E">
        <w:rPr>
          <w:rFonts w:ascii="Garamond" w:hAnsi="Garamond" w:cs="Times New Roman"/>
          <w:iCs/>
          <w:sz w:val="23"/>
          <w:szCs w:val="23"/>
        </w:rPr>
        <w:t>l</w:t>
      </w:r>
      <w:r w:rsidR="0055469E" w:rsidRPr="0023079E">
        <w:rPr>
          <w:rFonts w:ascii="Garamond" w:hAnsi="Garamond" w:cs="Times New Roman"/>
          <w:iCs/>
          <w:sz w:val="23"/>
          <w:szCs w:val="23"/>
        </w:rPr>
        <w:t xml:space="preserve">a gestione del conflitto di interessi assume uno speciale rilievo. </w:t>
      </w:r>
      <w:r w:rsidR="00AB34C5" w:rsidRPr="0023079E">
        <w:rPr>
          <w:rFonts w:ascii="Garamond" w:hAnsi="Garamond" w:cs="Times New Roman"/>
          <w:iCs/>
          <w:sz w:val="23"/>
          <w:szCs w:val="23"/>
        </w:rPr>
        <w:t>Il Regolamento UE 241/2021 del Parlamento Europeo e del Consiglio</w:t>
      </w:r>
      <w:r w:rsidR="00AB34C5" w:rsidRPr="0023079E">
        <w:t xml:space="preserve"> </w:t>
      </w:r>
      <w:r w:rsidR="00AB34C5" w:rsidRPr="0023079E">
        <w:rPr>
          <w:rFonts w:ascii="Garamond" w:hAnsi="Garamond" w:cs="Times New Roman"/>
          <w:iCs/>
          <w:sz w:val="23"/>
          <w:szCs w:val="23"/>
        </w:rPr>
        <w:t>che istituisce il dispositivo per la ripresa e la resilienza introduce all’articolo 22</w:t>
      </w:r>
      <w:r w:rsidR="007B32F7" w:rsidRPr="0023079E">
        <w:rPr>
          <w:rFonts w:ascii="Garamond" w:hAnsi="Garamond" w:cs="Times New Roman"/>
          <w:iCs/>
          <w:sz w:val="23"/>
          <w:szCs w:val="23"/>
        </w:rPr>
        <w:t xml:space="preserve"> - </w:t>
      </w:r>
      <w:r w:rsidR="00AB34C5" w:rsidRPr="0023079E">
        <w:rPr>
          <w:rFonts w:ascii="Garamond" w:hAnsi="Garamond" w:cs="Times New Roman"/>
          <w:iCs/>
          <w:sz w:val="23"/>
          <w:szCs w:val="23"/>
        </w:rPr>
        <w:t>quale misura finalizzata all'audit e al controllo, nonché al fine di fornire dati comparabili sull'utilizzo dei fondi in relazione a misure per</w:t>
      </w:r>
      <w:r w:rsidR="007B32F7" w:rsidRPr="0023079E">
        <w:rPr>
          <w:rFonts w:ascii="Garamond" w:hAnsi="Garamond" w:cs="Times New Roman"/>
          <w:iCs/>
          <w:sz w:val="23"/>
          <w:szCs w:val="23"/>
        </w:rPr>
        <w:t xml:space="preserve"> </w:t>
      </w:r>
      <w:r w:rsidR="00AB34C5" w:rsidRPr="0023079E">
        <w:rPr>
          <w:rFonts w:ascii="Garamond" w:hAnsi="Garamond" w:cs="Times New Roman"/>
          <w:iCs/>
          <w:sz w:val="23"/>
          <w:szCs w:val="23"/>
        </w:rPr>
        <w:t>l'attuazione di riforme e progetti di investimento nell'ambito del piano per la ripresa e la resilienza, raccogliere le</w:t>
      </w:r>
      <w:r w:rsidR="007B32F7" w:rsidRPr="0023079E">
        <w:rPr>
          <w:rFonts w:ascii="Garamond" w:hAnsi="Garamond" w:cs="Times New Roman"/>
          <w:iCs/>
          <w:sz w:val="23"/>
          <w:szCs w:val="23"/>
        </w:rPr>
        <w:t xml:space="preserve"> </w:t>
      </w:r>
      <w:r w:rsidR="00AB34C5" w:rsidRPr="0023079E">
        <w:rPr>
          <w:rFonts w:ascii="Garamond" w:hAnsi="Garamond" w:cs="Times New Roman"/>
          <w:iCs/>
          <w:sz w:val="23"/>
          <w:szCs w:val="23"/>
        </w:rPr>
        <w:t>seguenti categorie standardizzate di dati, nonché garantire il relativo accesso</w:t>
      </w:r>
      <w:r w:rsidR="0048755C">
        <w:rPr>
          <w:rFonts w:ascii="Garamond" w:hAnsi="Garamond" w:cs="Times New Roman"/>
          <w:iCs/>
          <w:sz w:val="23"/>
          <w:szCs w:val="23"/>
        </w:rPr>
        <w:t xml:space="preserve"> </w:t>
      </w:r>
      <w:r w:rsidR="007B32F7" w:rsidRPr="0023079E">
        <w:rPr>
          <w:rFonts w:ascii="Garamond" w:hAnsi="Garamond" w:cs="Times New Roman"/>
          <w:iCs/>
          <w:sz w:val="23"/>
          <w:szCs w:val="23"/>
        </w:rPr>
        <w:t>- il concetto del/dei titolare/i effettivo/i del destinatario dei fondi o appaltatore.</w:t>
      </w:r>
    </w:p>
    <w:p w14:paraId="245F5104" w14:textId="6C4F0FA6" w:rsidR="00B22324" w:rsidRPr="00405A0A" w:rsidRDefault="00CD3888" w:rsidP="00CD3888">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23079E">
        <w:rPr>
          <w:rFonts w:ascii="Garamond" w:hAnsi="Garamond" w:cs="Times New Roman"/>
          <w:iCs/>
          <w:sz w:val="23"/>
          <w:szCs w:val="23"/>
        </w:rPr>
        <w:t>La figura del "titolare effettivo" viene definita</w:t>
      </w:r>
      <w:r w:rsidR="007B32F7" w:rsidRPr="0023079E">
        <w:rPr>
          <w:rFonts w:ascii="Garamond" w:hAnsi="Garamond" w:cs="Times New Roman"/>
          <w:iCs/>
          <w:sz w:val="23"/>
          <w:szCs w:val="23"/>
        </w:rPr>
        <w:t>, dal legislatore nazionale,</w:t>
      </w:r>
      <w:r w:rsidRPr="0023079E">
        <w:rPr>
          <w:rFonts w:ascii="Garamond" w:hAnsi="Garamond" w:cs="Times New Roman"/>
          <w:iCs/>
          <w:sz w:val="23"/>
          <w:szCs w:val="23"/>
        </w:rPr>
        <w:t xml:space="preserve"> dall'art. 1, co. 1, </w:t>
      </w:r>
      <w:proofErr w:type="spellStart"/>
      <w:r w:rsidRPr="0023079E">
        <w:rPr>
          <w:rFonts w:ascii="Garamond" w:hAnsi="Garamond" w:cs="Times New Roman"/>
          <w:iCs/>
          <w:sz w:val="23"/>
          <w:szCs w:val="23"/>
        </w:rPr>
        <w:t>lett</w:t>
      </w:r>
      <w:proofErr w:type="spellEnd"/>
      <w:r w:rsidRPr="0023079E">
        <w:rPr>
          <w:rFonts w:ascii="Garamond" w:hAnsi="Garamond" w:cs="Times New Roman"/>
          <w:iCs/>
          <w:sz w:val="23"/>
          <w:szCs w:val="23"/>
        </w:rPr>
        <w:t xml:space="preserve">. </w:t>
      </w:r>
      <w:proofErr w:type="spellStart"/>
      <w:r w:rsidRPr="0023079E">
        <w:rPr>
          <w:rFonts w:ascii="Garamond" w:hAnsi="Garamond" w:cs="Times New Roman"/>
          <w:iCs/>
          <w:sz w:val="23"/>
          <w:szCs w:val="23"/>
        </w:rPr>
        <w:t>pp</w:t>
      </w:r>
      <w:proofErr w:type="spellEnd"/>
      <w:r w:rsidRPr="0023079E">
        <w:rPr>
          <w:rFonts w:ascii="Garamond" w:hAnsi="Garamond" w:cs="Times New Roman"/>
          <w:iCs/>
          <w:sz w:val="23"/>
          <w:szCs w:val="23"/>
        </w:rPr>
        <w:t xml:space="preserve">), del </w:t>
      </w:r>
      <w:proofErr w:type="spellStart"/>
      <w:proofErr w:type="gramStart"/>
      <w:r w:rsidR="007B32F7" w:rsidRPr="0023079E">
        <w:rPr>
          <w:rFonts w:ascii="Garamond" w:hAnsi="Garamond" w:cs="Times New Roman"/>
          <w:iCs/>
          <w:sz w:val="23"/>
          <w:szCs w:val="23"/>
        </w:rPr>
        <w:t>D.Lgs</w:t>
      </w:r>
      <w:proofErr w:type="gramEnd"/>
      <w:r w:rsidR="007B32F7" w:rsidRPr="0023079E">
        <w:rPr>
          <w:rFonts w:ascii="Garamond" w:hAnsi="Garamond" w:cs="Times New Roman"/>
          <w:iCs/>
          <w:sz w:val="23"/>
          <w:szCs w:val="23"/>
        </w:rPr>
        <w:t>.</w:t>
      </w:r>
      <w:proofErr w:type="spellEnd"/>
      <w:r w:rsidR="007B32F7" w:rsidRPr="0023079E">
        <w:rPr>
          <w:rFonts w:ascii="Garamond" w:hAnsi="Garamond" w:cs="Times New Roman"/>
          <w:iCs/>
          <w:sz w:val="23"/>
          <w:szCs w:val="23"/>
        </w:rPr>
        <w:t xml:space="preserve"> n. 231/2007 (</w:t>
      </w:r>
      <w:r w:rsidRPr="0023079E">
        <w:rPr>
          <w:rFonts w:ascii="Garamond" w:hAnsi="Garamond" w:cs="Times New Roman"/>
          <w:iCs/>
          <w:sz w:val="23"/>
          <w:szCs w:val="23"/>
        </w:rPr>
        <w:t>decreto antiriciclaggio</w:t>
      </w:r>
      <w:r w:rsidR="007B32F7" w:rsidRPr="0023079E">
        <w:rPr>
          <w:rFonts w:ascii="Garamond" w:hAnsi="Garamond" w:cs="Times New Roman"/>
          <w:iCs/>
          <w:sz w:val="23"/>
          <w:szCs w:val="23"/>
        </w:rPr>
        <w:t>)</w:t>
      </w:r>
      <w:r w:rsidRPr="0023079E">
        <w:rPr>
          <w:rFonts w:ascii="Garamond" w:hAnsi="Garamond" w:cs="Times New Roman"/>
          <w:iCs/>
          <w:sz w:val="23"/>
          <w:szCs w:val="23"/>
        </w:rPr>
        <w:t xml:space="preserve"> come "</w:t>
      </w:r>
      <w:r w:rsidRPr="00F91026">
        <w:rPr>
          <w:rFonts w:ascii="Garamond" w:hAnsi="Garamond" w:cs="Times New Roman"/>
          <w:i/>
          <w:iCs/>
          <w:sz w:val="23"/>
          <w:szCs w:val="23"/>
        </w:rPr>
        <w:t>la persona fisica o le persone fisiche, diverse dal cliente, nell'interesse della quale o delle quali, in ultima istanza, il rapporto continuativo è istaurato, la prestazione professionale è resa o l'operazione è eseguita</w:t>
      </w:r>
      <w:r w:rsidRPr="00405A0A">
        <w:rPr>
          <w:rFonts w:ascii="Garamond" w:hAnsi="Garamond" w:cs="Times New Roman"/>
          <w:iCs/>
          <w:sz w:val="23"/>
          <w:szCs w:val="23"/>
        </w:rPr>
        <w:t>". L'art. 20 del medesimo d.lgs. 231 /2007, detta una serie di criteri elencati secondo un ordine gerarchico, in modo che i successivi siano applicabili solo nel caso in cui i primi risultino inutilizzabili</w:t>
      </w:r>
      <w:r w:rsidR="00405A0A" w:rsidRPr="00405A0A">
        <w:rPr>
          <w:rFonts w:ascii="Garamond" w:hAnsi="Garamond" w:cs="Times New Roman"/>
          <w:iCs/>
          <w:sz w:val="23"/>
          <w:szCs w:val="23"/>
        </w:rPr>
        <w:t>.</w:t>
      </w:r>
    </w:p>
    <w:bookmarkEnd w:id="65"/>
    <w:p w14:paraId="74978017" w14:textId="3F4F3EF8" w:rsidR="00B22324" w:rsidRPr="0023079E" w:rsidRDefault="00B22324" w:rsidP="00B22324">
      <w:pPr>
        <w:tabs>
          <w:tab w:val="left" w:pos="9354"/>
        </w:tabs>
        <w:autoSpaceDE w:val="0"/>
        <w:autoSpaceDN w:val="0"/>
        <w:adjustRightInd w:val="0"/>
        <w:spacing w:after="0" w:line="276" w:lineRule="auto"/>
        <w:ind w:right="-1"/>
        <w:jc w:val="both"/>
        <w:rPr>
          <w:rFonts w:ascii="Garamond" w:hAnsi="Garamond" w:cs="Times New Roman"/>
          <w:iCs/>
          <w:sz w:val="23"/>
          <w:szCs w:val="23"/>
        </w:rPr>
      </w:pPr>
      <w:r w:rsidRPr="0023079E">
        <w:rPr>
          <w:rFonts w:ascii="Garamond" w:hAnsi="Garamond" w:cs="Times New Roman"/>
          <w:iCs/>
          <w:sz w:val="23"/>
          <w:szCs w:val="23"/>
        </w:rPr>
        <w:t xml:space="preserve">Lo Stato italiano ha recepito le misure fissate a livello di regolamentazione UE, oltre che in disposizioni normative, anche negli atti adottati dal MEF, Dipartimento RGS, Servizio centrale per il PNRR, quale punto di contatto nazionale per l’attuazione del PNRR. In particolare, nelle LLGG del MEF annesse alla circolare 11 agosto 2022, n. 30/2022, è stata posta grande attenzione alla necessità di garantire </w:t>
      </w:r>
      <w:r w:rsidRPr="00F91026">
        <w:rPr>
          <w:rFonts w:ascii="Garamond" w:hAnsi="Garamond" w:cs="Times New Roman"/>
          <w:iCs/>
          <w:sz w:val="23"/>
          <w:szCs w:val="23"/>
        </w:rPr>
        <w:t>la trasparenza dei dati relativi al titolare effettivo (</w:t>
      </w:r>
      <w:proofErr w:type="spellStart"/>
      <w:r w:rsidRPr="00F91026">
        <w:rPr>
          <w:rFonts w:ascii="Garamond" w:hAnsi="Garamond" w:cs="Times New Roman"/>
          <w:iCs/>
          <w:sz w:val="23"/>
          <w:szCs w:val="23"/>
        </w:rPr>
        <w:t>t.e</w:t>
      </w:r>
      <w:proofErr w:type="spellEnd"/>
      <w:r w:rsidRPr="00F91026">
        <w:rPr>
          <w:rFonts w:ascii="Garamond" w:hAnsi="Garamond" w:cs="Times New Roman"/>
          <w:iCs/>
          <w:sz w:val="23"/>
          <w:szCs w:val="23"/>
        </w:rPr>
        <w:t>.) dei soggetti partecipanti alle gare per l’affidamento dei contratti pubblici</w:t>
      </w:r>
      <w:r w:rsidRPr="0023079E">
        <w:rPr>
          <w:rFonts w:ascii="Garamond" w:hAnsi="Garamond" w:cs="Times New Roman"/>
          <w:iCs/>
          <w:sz w:val="23"/>
          <w:szCs w:val="23"/>
        </w:rPr>
        <w:t xml:space="preserve">. Tra le numerose indicazioni fornite dal MEF nelle predette LLGG è ricompresa anche quella con cui si è previsto non solo </w:t>
      </w:r>
      <w:r w:rsidRPr="006100AA">
        <w:rPr>
          <w:rFonts w:ascii="Garamond" w:hAnsi="Garamond" w:cs="Times New Roman"/>
          <w:iCs/>
          <w:sz w:val="23"/>
          <w:szCs w:val="23"/>
        </w:rPr>
        <w:t xml:space="preserve">l’obbligo per gli operatori economici di comunicare i dati del </w:t>
      </w:r>
      <w:proofErr w:type="spellStart"/>
      <w:r w:rsidRPr="006100AA">
        <w:rPr>
          <w:rFonts w:ascii="Garamond" w:hAnsi="Garamond" w:cs="Times New Roman"/>
          <w:iCs/>
          <w:sz w:val="23"/>
          <w:szCs w:val="23"/>
        </w:rPr>
        <w:t>t.e</w:t>
      </w:r>
      <w:proofErr w:type="spellEnd"/>
      <w:r w:rsidRPr="006100AA">
        <w:rPr>
          <w:rFonts w:ascii="Garamond" w:hAnsi="Garamond" w:cs="Times New Roman"/>
          <w:iCs/>
          <w:sz w:val="23"/>
          <w:szCs w:val="23"/>
        </w:rPr>
        <w:t>.</w:t>
      </w:r>
      <w:r w:rsidRPr="0023079E">
        <w:rPr>
          <w:rFonts w:ascii="Garamond" w:hAnsi="Garamond" w:cs="Times New Roman"/>
          <w:iCs/>
          <w:sz w:val="23"/>
          <w:szCs w:val="23"/>
        </w:rPr>
        <w:t xml:space="preserve"> ma anche quello, posto in capo al soggetto attuatore/stazione appaltante, di richiedere la dichiarazione del medesimo </w:t>
      </w:r>
      <w:proofErr w:type="spellStart"/>
      <w:r w:rsidRPr="0023079E">
        <w:rPr>
          <w:rFonts w:ascii="Garamond" w:hAnsi="Garamond" w:cs="Times New Roman"/>
          <w:iCs/>
          <w:sz w:val="23"/>
          <w:szCs w:val="23"/>
        </w:rPr>
        <w:t>t.e</w:t>
      </w:r>
      <w:proofErr w:type="spellEnd"/>
      <w:r w:rsidRPr="0023079E">
        <w:rPr>
          <w:rFonts w:ascii="Garamond" w:hAnsi="Garamond" w:cs="Times New Roman"/>
          <w:iCs/>
          <w:sz w:val="23"/>
          <w:szCs w:val="23"/>
        </w:rPr>
        <w:t xml:space="preserve">. di assenza di conflitto di interessi. </w:t>
      </w:r>
      <w:r w:rsidR="007B32F7" w:rsidRPr="0023079E">
        <w:rPr>
          <w:rFonts w:ascii="Garamond" w:hAnsi="Garamond" w:cs="Times New Roman"/>
          <w:iCs/>
          <w:sz w:val="23"/>
          <w:szCs w:val="23"/>
        </w:rPr>
        <w:t>D</w:t>
      </w:r>
      <w:r w:rsidRPr="0023079E">
        <w:rPr>
          <w:rFonts w:ascii="Garamond" w:hAnsi="Garamond" w:cs="Times New Roman"/>
          <w:iCs/>
          <w:sz w:val="23"/>
          <w:szCs w:val="23"/>
        </w:rPr>
        <w:t>efinizione e disciplina del titolare effettivo sono</w:t>
      </w:r>
      <w:r w:rsidR="007B32F7" w:rsidRPr="0023079E">
        <w:rPr>
          <w:rFonts w:ascii="Garamond" w:hAnsi="Garamond" w:cs="Times New Roman"/>
          <w:iCs/>
          <w:sz w:val="23"/>
          <w:szCs w:val="23"/>
        </w:rPr>
        <w:t>, quindi,</w:t>
      </w:r>
      <w:r w:rsidRPr="0023079E">
        <w:rPr>
          <w:rFonts w:ascii="Garamond" w:hAnsi="Garamond" w:cs="Times New Roman"/>
          <w:iCs/>
          <w:sz w:val="23"/>
          <w:szCs w:val="23"/>
        </w:rPr>
        <w:t xml:space="preserve"> funzionali a garantire la riconducibilità di un'operazione alla persona fisica che, di fatto, ne trae vantaggio, al fine di evitare che altri soggetti e, in particolare, strutture giuridiche complesse - società e altri enti, trust e istituti giuridici affini - siano utilizzati come schermo per occultare il reale beneficiario e realizzare finalità illecite.</w:t>
      </w:r>
    </w:p>
    <w:p w14:paraId="0E4BB2A3" w14:textId="35C45F2F" w:rsidR="003E5D1B" w:rsidRDefault="00B22324" w:rsidP="003E5D1B">
      <w:pPr>
        <w:autoSpaceDE w:val="0"/>
        <w:autoSpaceDN w:val="0"/>
        <w:adjustRightInd w:val="0"/>
        <w:spacing w:after="0" w:line="276" w:lineRule="auto"/>
        <w:ind w:right="-1"/>
        <w:jc w:val="both"/>
        <w:rPr>
          <w:rFonts w:ascii="Garamond" w:hAnsi="Garamond" w:cs="Times New Roman"/>
          <w:iCs/>
          <w:sz w:val="23"/>
          <w:szCs w:val="23"/>
        </w:rPr>
      </w:pPr>
      <w:bookmarkStart w:id="66" w:name="_Hlk124790330"/>
      <w:r w:rsidRPr="0023079E">
        <w:rPr>
          <w:rFonts w:ascii="Garamond" w:hAnsi="Garamond" w:cs="Times New Roman"/>
          <w:iCs/>
          <w:sz w:val="23"/>
          <w:szCs w:val="23"/>
        </w:rPr>
        <w:t>Posto quanto sopra, tenendo conto delle peculiarità e dell’assetto organizzativo dell’amministr</w:t>
      </w:r>
      <w:r w:rsidR="00C8530B" w:rsidRPr="0023079E">
        <w:rPr>
          <w:rFonts w:ascii="Garamond" w:hAnsi="Garamond" w:cs="Times New Roman"/>
          <w:iCs/>
          <w:sz w:val="23"/>
          <w:szCs w:val="23"/>
        </w:rPr>
        <w:t xml:space="preserve">azione regionale, </w:t>
      </w:r>
      <w:r w:rsidR="003E5D1B" w:rsidRPr="00033905">
        <w:rPr>
          <w:rFonts w:ascii="Garamond" w:hAnsi="Garamond" w:cs="Times New Roman"/>
          <w:iCs/>
          <w:sz w:val="23"/>
          <w:szCs w:val="23"/>
          <w:highlight w:val="yellow"/>
        </w:rPr>
        <w:t xml:space="preserve">in Allegato A </w:t>
      </w:r>
      <w:r w:rsidR="00C8530B" w:rsidRPr="00033905">
        <w:rPr>
          <w:rFonts w:ascii="Garamond" w:hAnsi="Garamond" w:cs="Times New Roman"/>
          <w:iCs/>
          <w:sz w:val="23"/>
          <w:szCs w:val="23"/>
          <w:highlight w:val="yellow"/>
        </w:rPr>
        <w:t>si individua,</w:t>
      </w:r>
      <w:r w:rsidRPr="00033905">
        <w:rPr>
          <w:rFonts w:ascii="Garamond" w:hAnsi="Garamond" w:cs="Times New Roman"/>
          <w:iCs/>
          <w:sz w:val="23"/>
          <w:szCs w:val="23"/>
          <w:highlight w:val="yellow"/>
        </w:rPr>
        <w:t xml:space="preserve"> </w:t>
      </w:r>
      <w:r w:rsidR="00C8530B" w:rsidRPr="00033905">
        <w:rPr>
          <w:rFonts w:ascii="Garamond" w:hAnsi="Garamond" w:cs="Times New Roman"/>
          <w:iCs/>
          <w:sz w:val="23"/>
          <w:szCs w:val="23"/>
          <w:highlight w:val="yellow"/>
        </w:rPr>
        <w:t>q</w:t>
      </w:r>
      <w:r w:rsidR="003E5D1B" w:rsidRPr="00033905">
        <w:rPr>
          <w:rFonts w:ascii="Garamond" w:hAnsi="Garamond" w:cs="Times New Roman"/>
          <w:iCs/>
          <w:sz w:val="23"/>
          <w:szCs w:val="23"/>
          <w:highlight w:val="yellow"/>
        </w:rPr>
        <w:t>uali misure</w:t>
      </w:r>
      <w:r w:rsidR="00C8530B" w:rsidRPr="00033905">
        <w:rPr>
          <w:rFonts w:ascii="Garamond" w:hAnsi="Garamond" w:cs="Times New Roman"/>
          <w:iCs/>
          <w:sz w:val="23"/>
          <w:szCs w:val="23"/>
          <w:highlight w:val="yellow"/>
        </w:rPr>
        <w:t xml:space="preserve"> d</w:t>
      </w:r>
      <w:r w:rsidR="003E5D1B" w:rsidRPr="00033905">
        <w:rPr>
          <w:rFonts w:ascii="Garamond" w:hAnsi="Garamond" w:cs="Times New Roman"/>
          <w:iCs/>
          <w:sz w:val="23"/>
          <w:szCs w:val="23"/>
          <w:highlight w:val="yellow"/>
        </w:rPr>
        <w:t>i prevenzione della corruzione</w:t>
      </w:r>
      <w:r w:rsidR="00834479" w:rsidRPr="00033905">
        <w:rPr>
          <w:rFonts w:ascii="Garamond" w:hAnsi="Garamond" w:cs="Times New Roman"/>
          <w:iCs/>
          <w:sz w:val="23"/>
          <w:szCs w:val="23"/>
          <w:highlight w:val="yellow"/>
        </w:rPr>
        <w:t xml:space="preserve"> in materia di</w:t>
      </w:r>
      <w:r w:rsidR="00E35873" w:rsidRPr="00033905">
        <w:rPr>
          <w:rFonts w:ascii="Garamond" w:hAnsi="Garamond" w:cs="Times New Roman"/>
          <w:iCs/>
          <w:sz w:val="23"/>
          <w:szCs w:val="23"/>
          <w:highlight w:val="yellow"/>
        </w:rPr>
        <w:t xml:space="preserve"> affidamento di contratti pubblici PNRR e PNC </w:t>
      </w:r>
      <w:r w:rsidR="003E5D1B" w:rsidRPr="00033905">
        <w:rPr>
          <w:rFonts w:ascii="Garamond" w:hAnsi="Garamond" w:cs="Times New Roman"/>
          <w:iCs/>
          <w:sz w:val="23"/>
          <w:szCs w:val="23"/>
          <w:highlight w:val="yellow"/>
        </w:rPr>
        <w:t>-  evidenziate in giallo al fine della più agevole individuazione in fase di consultazione –</w:t>
      </w:r>
      <w:r w:rsidR="003E5D1B">
        <w:rPr>
          <w:rFonts w:ascii="Garamond" w:hAnsi="Garamond" w:cs="Times New Roman"/>
          <w:iCs/>
          <w:sz w:val="23"/>
          <w:szCs w:val="23"/>
        </w:rPr>
        <w:t xml:space="preserve"> l’obbligo per </w:t>
      </w:r>
      <w:r w:rsidR="00C8530B" w:rsidRPr="0023079E">
        <w:rPr>
          <w:rFonts w:ascii="Garamond" w:hAnsi="Garamond" w:cs="Times New Roman"/>
          <w:iCs/>
          <w:sz w:val="23"/>
          <w:szCs w:val="23"/>
        </w:rPr>
        <w:t xml:space="preserve">tutte le strutture regionali che gestiscono </w:t>
      </w:r>
      <w:r w:rsidR="00354A5E" w:rsidRPr="0023079E">
        <w:rPr>
          <w:rFonts w:ascii="Garamond" w:hAnsi="Garamond" w:cs="Times New Roman"/>
          <w:iCs/>
          <w:sz w:val="23"/>
          <w:szCs w:val="23"/>
        </w:rPr>
        <w:t>p</w:t>
      </w:r>
      <w:r w:rsidR="00C8530B" w:rsidRPr="0023079E">
        <w:rPr>
          <w:rFonts w:ascii="Garamond" w:hAnsi="Garamond" w:cs="Times New Roman"/>
          <w:iCs/>
          <w:sz w:val="23"/>
          <w:szCs w:val="23"/>
        </w:rPr>
        <w:t>rocessi collocati nell’Area di Rischio n. 1 “Contratti pubblici” in qualità di SSAA</w:t>
      </w:r>
      <w:r w:rsidR="003E5D1B">
        <w:rPr>
          <w:rFonts w:ascii="Garamond" w:hAnsi="Garamond" w:cs="Times New Roman"/>
          <w:iCs/>
          <w:sz w:val="23"/>
          <w:szCs w:val="23"/>
        </w:rPr>
        <w:t>:</w:t>
      </w:r>
    </w:p>
    <w:p w14:paraId="7DA8568C" w14:textId="58E4C7FD" w:rsidR="006B6619" w:rsidRDefault="00C8530B" w:rsidP="006B6619">
      <w:pPr>
        <w:pStyle w:val="Paragrafoelenco"/>
        <w:numPr>
          <w:ilvl w:val="0"/>
          <w:numId w:val="6"/>
        </w:numPr>
        <w:autoSpaceDE w:val="0"/>
        <w:autoSpaceDN w:val="0"/>
        <w:adjustRightInd w:val="0"/>
        <w:spacing w:after="0" w:line="276" w:lineRule="auto"/>
        <w:ind w:right="-1"/>
        <w:jc w:val="both"/>
        <w:rPr>
          <w:rFonts w:ascii="Garamond" w:hAnsi="Garamond" w:cs="Times New Roman"/>
          <w:iCs/>
          <w:sz w:val="23"/>
          <w:szCs w:val="23"/>
        </w:rPr>
      </w:pPr>
      <w:r w:rsidRPr="006B6619">
        <w:rPr>
          <w:rFonts w:ascii="Garamond" w:hAnsi="Garamond" w:cs="Times New Roman"/>
          <w:iCs/>
          <w:sz w:val="23"/>
          <w:szCs w:val="23"/>
        </w:rPr>
        <w:t xml:space="preserve"> di </w:t>
      </w:r>
      <w:r w:rsidR="00F91026" w:rsidRPr="006B6619">
        <w:rPr>
          <w:rFonts w:ascii="Garamond" w:hAnsi="Garamond" w:cs="Times New Roman"/>
          <w:iCs/>
          <w:sz w:val="23"/>
          <w:szCs w:val="23"/>
        </w:rPr>
        <w:t>acquisi</w:t>
      </w:r>
      <w:r w:rsidR="003E5D1B" w:rsidRPr="006B6619">
        <w:rPr>
          <w:rFonts w:ascii="Garamond" w:hAnsi="Garamond" w:cs="Times New Roman"/>
          <w:iCs/>
          <w:sz w:val="23"/>
          <w:szCs w:val="23"/>
        </w:rPr>
        <w:t>re</w:t>
      </w:r>
      <w:r w:rsidR="007B32F7" w:rsidRPr="006B6619">
        <w:rPr>
          <w:rFonts w:ascii="Garamond" w:hAnsi="Garamond" w:cs="Times New Roman"/>
          <w:iCs/>
          <w:sz w:val="23"/>
          <w:szCs w:val="23"/>
        </w:rPr>
        <w:t xml:space="preserve"> dagli operatori economici partecipanti</w:t>
      </w:r>
      <w:r w:rsidR="00E35873">
        <w:rPr>
          <w:rFonts w:ascii="Garamond" w:hAnsi="Garamond" w:cs="Times New Roman"/>
          <w:iCs/>
          <w:sz w:val="23"/>
          <w:szCs w:val="23"/>
        </w:rPr>
        <w:t>/invitati alla procedura</w:t>
      </w:r>
      <w:r w:rsidR="00F91026" w:rsidRPr="006B6619">
        <w:rPr>
          <w:rFonts w:ascii="Garamond" w:hAnsi="Garamond" w:cs="Times New Roman"/>
          <w:iCs/>
          <w:sz w:val="23"/>
          <w:szCs w:val="23"/>
        </w:rPr>
        <w:t xml:space="preserve"> </w:t>
      </w:r>
      <w:r w:rsidR="00E54FCC" w:rsidRPr="006B6619">
        <w:rPr>
          <w:rFonts w:ascii="Garamond" w:hAnsi="Garamond" w:cs="Times New Roman"/>
          <w:iCs/>
          <w:sz w:val="23"/>
          <w:szCs w:val="23"/>
        </w:rPr>
        <w:t xml:space="preserve">una dichiarazione dalla quale risulti/risultino </w:t>
      </w:r>
      <w:r w:rsidRPr="006B6619">
        <w:rPr>
          <w:rFonts w:ascii="Garamond" w:hAnsi="Garamond" w:cs="Times New Roman"/>
          <w:iCs/>
          <w:sz w:val="23"/>
          <w:szCs w:val="23"/>
        </w:rPr>
        <w:t>il</w:t>
      </w:r>
      <w:r w:rsidR="00E54FCC" w:rsidRPr="006B6619">
        <w:rPr>
          <w:rFonts w:ascii="Garamond" w:hAnsi="Garamond" w:cs="Times New Roman"/>
          <w:iCs/>
          <w:sz w:val="23"/>
          <w:szCs w:val="23"/>
        </w:rPr>
        <w:t>/i</w:t>
      </w:r>
      <w:r w:rsidRPr="006B6619">
        <w:rPr>
          <w:rFonts w:ascii="Garamond" w:hAnsi="Garamond" w:cs="Times New Roman"/>
          <w:iCs/>
          <w:sz w:val="23"/>
          <w:szCs w:val="23"/>
        </w:rPr>
        <w:t xml:space="preserve"> titolare</w:t>
      </w:r>
      <w:r w:rsidR="00E54FCC" w:rsidRPr="006B6619">
        <w:rPr>
          <w:rFonts w:ascii="Garamond" w:hAnsi="Garamond" w:cs="Times New Roman"/>
          <w:iCs/>
          <w:sz w:val="23"/>
          <w:szCs w:val="23"/>
        </w:rPr>
        <w:t>/i</w:t>
      </w:r>
      <w:r w:rsidRPr="006B6619">
        <w:rPr>
          <w:rFonts w:ascii="Garamond" w:hAnsi="Garamond" w:cs="Times New Roman"/>
          <w:iCs/>
          <w:sz w:val="23"/>
          <w:szCs w:val="23"/>
        </w:rPr>
        <w:t xml:space="preserve"> effettiv</w:t>
      </w:r>
      <w:r w:rsidR="0023079E" w:rsidRPr="006B6619">
        <w:rPr>
          <w:rFonts w:ascii="Garamond" w:hAnsi="Garamond" w:cs="Times New Roman"/>
          <w:iCs/>
          <w:sz w:val="23"/>
          <w:szCs w:val="23"/>
        </w:rPr>
        <w:t>o/i</w:t>
      </w:r>
      <w:r w:rsidR="003E5D1B" w:rsidRPr="006B6619">
        <w:rPr>
          <w:rFonts w:ascii="Garamond" w:hAnsi="Garamond" w:cs="Times New Roman"/>
          <w:iCs/>
          <w:sz w:val="23"/>
          <w:szCs w:val="23"/>
        </w:rPr>
        <w:t>;</w:t>
      </w:r>
    </w:p>
    <w:p w14:paraId="5108D9B7" w14:textId="2B0E0EEC" w:rsidR="00E35873" w:rsidRDefault="00E35873" w:rsidP="00295B9A">
      <w:pPr>
        <w:pStyle w:val="Paragrafoelenco"/>
        <w:numPr>
          <w:ilvl w:val="0"/>
          <w:numId w:val="6"/>
        </w:numPr>
        <w:autoSpaceDE w:val="0"/>
        <w:autoSpaceDN w:val="0"/>
        <w:adjustRightInd w:val="0"/>
        <w:spacing w:after="120" w:line="276" w:lineRule="auto"/>
        <w:ind w:left="402" w:hanging="357"/>
        <w:contextualSpacing w:val="0"/>
        <w:jc w:val="both"/>
        <w:rPr>
          <w:rFonts w:ascii="Garamond" w:hAnsi="Garamond" w:cs="Times New Roman"/>
          <w:iCs/>
          <w:sz w:val="23"/>
          <w:szCs w:val="23"/>
        </w:rPr>
      </w:pPr>
      <w:r w:rsidRPr="00E35873">
        <w:rPr>
          <w:rFonts w:ascii="Garamond" w:hAnsi="Garamond" w:cs="Times New Roman"/>
          <w:iCs/>
          <w:sz w:val="23"/>
          <w:szCs w:val="23"/>
        </w:rPr>
        <w:t xml:space="preserve">di acquisire </w:t>
      </w:r>
      <w:r>
        <w:rPr>
          <w:rFonts w:ascii="Garamond" w:hAnsi="Garamond" w:cs="Times New Roman"/>
          <w:iCs/>
          <w:sz w:val="23"/>
          <w:szCs w:val="23"/>
        </w:rPr>
        <w:t xml:space="preserve">dal/i titolare/i effettivo/i </w:t>
      </w:r>
      <w:r w:rsidRPr="00E35873">
        <w:rPr>
          <w:rFonts w:ascii="Garamond" w:hAnsi="Garamond" w:cs="Times New Roman"/>
          <w:iCs/>
          <w:sz w:val="23"/>
          <w:szCs w:val="23"/>
        </w:rPr>
        <w:t>una dichiarazione di assenza di conflitto di interessi</w:t>
      </w:r>
      <w:r w:rsidR="00295B9A">
        <w:rPr>
          <w:rFonts w:ascii="Garamond" w:hAnsi="Garamond" w:cs="Times New Roman"/>
          <w:iCs/>
          <w:sz w:val="23"/>
          <w:szCs w:val="23"/>
        </w:rPr>
        <w:t>.</w:t>
      </w:r>
    </w:p>
    <w:p w14:paraId="3D77F875" w14:textId="73FC49B3" w:rsidR="00E35873" w:rsidRPr="00033905" w:rsidRDefault="00E35873" w:rsidP="00E35873">
      <w:pPr>
        <w:autoSpaceDE w:val="0"/>
        <w:autoSpaceDN w:val="0"/>
        <w:adjustRightInd w:val="0"/>
        <w:spacing w:after="0" w:line="276" w:lineRule="auto"/>
        <w:ind w:left="45" w:right="-1"/>
        <w:jc w:val="both"/>
        <w:rPr>
          <w:rFonts w:ascii="Garamond" w:hAnsi="Garamond" w:cs="Times New Roman"/>
          <w:b/>
          <w:iCs/>
          <w:sz w:val="23"/>
          <w:szCs w:val="23"/>
          <w:highlight w:val="yellow"/>
        </w:rPr>
      </w:pPr>
      <w:r w:rsidRPr="00033905">
        <w:rPr>
          <w:rFonts w:ascii="Garamond" w:hAnsi="Garamond" w:cs="Times New Roman"/>
          <w:b/>
          <w:iCs/>
          <w:sz w:val="23"/>
          <w:szCs w:val="23"/>
          <w:highlight w:val="yellow"/>
        </w:rPr>
        <w:t xml:space="preserve">I </w:t>
      </w:r>
      <w:r w:rsidR="00295B9A" w:rsidRPr="00033905">
        <w:rPr>
          <w:rFonts w:ascii="Garamond" w:hAnsi="Garamond" w:cs="Times New Roman"/>
          <w:b/>
          <w:iCs/>
          <w:sz w:val="23"/>
          <w:szCs w:val="23"/>
          <w:highlight w:val="yellow"/>
        </w:rPr>
        <w:t>Dipartimenti r</w:t>
      </w:r>
      <w:r w:rsidRPr="00033905">
        <w:rPr>
          <w:rFonts w:ascii="Garamond" w:hAnsi="Garamond" w:cs="Times New Roman"/>
          <w:b/>
          <w:iCs/>
          <w:sz w:val="23"/>
          <w:szCs w:val="23"/>
          <w:highlight w:val="yellow"/>
        </w:rPr>
        <w:t>egionali responsabili dell’attuazione di detti intervent</w:t>
      </w:r>
      <w:r w:rsidR="00295B9A" w:rsidRPr="00033905">
        <w:rPr>
          <w:rFonts w:ascii="Garamond" w:hAnsi="Garamond" w:cs="Times New Roman"/>
          <w:b/>
          <w:iCs/>
          <w:sz w:val="23"/>
          <w:szCs w:val="23"/>
          <w:highlight w:val="yellow"/>
        </w:rPr>
        <w:t>i finanziati a valere su risorse del PNRR e del PNC</w:t>
      </w:r>
      <w:r w:rsidRPr="00033905">
        <w:rPr>
          <w:rFonts w:ascii="Garamond" w:hAnsi="Garamond" w:cs="Times New Roman"/>
          <w:b/>
          <w:iCs/>
          <w:sz w:val="23"/>
          <w:szCs w:val="23"/>
          <w:highlight w:val="yellow"/>
        </w:rPr>
        <w:t>, inoltre, sono tenuti ad indicare nella mappatura del relativo processo</w:t>
      </w:r>
      <w:r w:rsidR="00295B9A" w:rsidRPr="00033905">
        <w:rPr>
          <w:rFonts w:ascii="Garamond" w:hAnsi="Garamond" w:cs="Times New Roman"/>
          <w:b/>
          <w:iCs/>
          <w:sz w:val="23"/>
          <w:szCs w:val="23"/>
          <w:highlight w:val="yellow"/>
        </w:rPr>
        <w:t xml:space="preserve"> – esistente/da modificare/da inserire in Allegato A </w:t>
      </w:r>
      <w:proofErr w:type="spellStart"/>
      <w:r w:rsidR="00295B9A" w:rsidRPr="00033905">
        <w:rPr>
          <w:rFonts w:ascii="Garamond" w:hAnsi="Garamond" w:cs="Times New Roman"/>
          <w:b/>
          <w:iCs/>
          <w:sz w:val="23"/>
          <w:szCs w:val="23"/>
          <w:highlight w:val="yellow"/>
        </w:rPr>
        <w:t>a</w:t>
      </w:r>
      <w:proofErr w:type="spellEnd"/>
      <w:r w:rsidR="00295B9A" w:rsidRPr="00033905">
        <w:rPr>
          <w:rFonts w:ascii="Garamond" w:hAnsi="Garamond" w:cs="Times New Roman"/>
          <w:b/>
          <w:iCs/>
          <w:sz w:val="23"/>
          <w:szCs w:val="23"/>
          <w:highlight w:val="yellow"/>
        </w:rPr>
        <w:t xml:space="preserve"> cura dei medesimi Dipartimenti - </w:t>
      </w:r>
      <w:r w:rsidRPr="00033905">
        <w:rPr>
          <w:rFonts w:ascii="Garamond" w:hAnsi="Garamond" w:cs="Times New Roman"/>
          <w:b/>
          <w:iCs/>
          <w:sz w:val="23"/>
          <w:szCs w:val="23"/>
          <w:highlight w:val="yellow"/>
        </w:rPr>
        <w:t xml:space="preserve"> l’Ufficio o il soggetto individuato per le verifiche e il controllo </w:t>
      </w:r>
      <w:r w:rsidR="00295B9A" w:rsidRPr="00033905">
        <w:rPr>
          <w:rFonts w:ascii="Garamond" w:hAnsi="Garamond" w:cs="Times New Roman"/>
          <w:b/>
          <w:iCs/>
          <w:sz w:val="23"/>
          <w:szCs w:val="23"/>
          <w:highlight w:val="yellow"/>
        </w:rPr>
        <w:t>(audit interno)</w:t>
      </w:r>
      <w:r w:rsidRPr="00033905">
        <w:rPr>
          <w:rFonts w:ascii="Garamond" w:hAnsi="Garamond" w:cs="Times New Roman"/>
          <w:b/>
          <w:iCs/>
          <w:sz w:val="23"/>
          <w:szCs w:val="23"/>
          <w:highlight w:val="yellow"/>
        </w:rPr>
        <w:t xml:space="preserve"> delle relative procedure e, comunque, le modalità di effettuazione di tali controlli.</w:t>
      </w:r>
    </w:p>
    <w:p w14:paraId="4129EB76" w14:textId="5C069E71" w:rsidR="00B22324" w:rsidRPr="00033905" w:rsidRDefault="00834479" w:rsidP="00834479">
      <w:pPr>
        <w:autoSpaceDE w:val="0"/>
        <w:autoSpaceDN w:val="0"/>
        <w:adjustRightInd w:val="0"/>
        <w:spacing w:after="0" w:line="276" w:lineRule="auto"/>
        <w:ind w:left="45" w:right="-1"/>
        <w:jc w:val="both"/>
        <w:rPr>
          <w:rFonts w:ascii="Garamond" w:hAnsi="Garamond" w:cs="Times New Roman"/>
          <w:b/>
          <w:iCs/>
          <w:sz w:val="23"/>
          <w:szCs w:val="23"/>
        </w:rPr>
      </w:pPr>
      <w:r w:rsidRPr="00033905">
        <w:rPr>
          <w:rFonts w:ascii="Garamond" w:hAnsi="Garamond" w:cs="Times New Roman"/>
          <w:b/>
          <w:iCs/>
          <w:sz w:val="23"/>
          <w:szCs w:val="23"/>
          <w:highlight w:val="yellow"/>
        </w:rPr>
        <w:t>In tal senso</w:t>
      </w:r>
      <w:r w:rsidR="00E35873" w:rsidRPr="00033905">
        <w:rPr>
          <w:rFonts w:ascii="Garamond" w:hAnsi="Garamond" w:cs="Times New Roman"/>
          <w:b/>
          <w:iCs/>
          <w:sz w:val="23"/>
          <w:szCs w:val="23"/>
          <w:highlight w:val="yellow"/>
        </w:rPr>
        <w:t xml:space="preserve">, si evidenzia come il PNA </w:t>
      </w:r>
      <w:r w:rsidRPr="00033905">
        <w:rPr>
          <w:rFonts w:ascii="Garamond" w:hAnsi="Garamond" w:cs="Times New Roman"/>
          <w:b/>
          <w:iCs/>
          <w:sz w:val="23"/>
          <w:szCs w:val="23"/>
          <w:highlight w:val="yellow"/>
        </w:rPr>
        <w:t xml:space="preserve">2022 </w:t>
      </w:r>
      <w:r w:rsidR="0093226C" w:rsidRPr="00033905">
        <w:rPr>
          <w:rFonts w:ascii="Garamond" w:hAnsi="Garamond" w:cs="Times New Roman"/>
          <w:b/>
          <w:iCs/>
          <w:sz w:val="23"/>
          <w:szCs w:val="23"/>
          <w:highlight w:val="yellow"/>
        </w:rPr>
        <w:t>ribadisca</w:t>
      </w:r>
      <w:r w:rsidRPr="00033905">
        <w:rPr>
          <w:rFonts w:ascii="Garamond" w:hAnsi="Garamond" w:cs="Times New Roman"/>
          <w:b/>
          <w:iCs/>
          <w:sz w:val="23"/>
          <w:szCs w:val="23"/>
          <w:highlight w:val="yellow"/>
        </w:rPr>
        <w:t xml:space="preserve"> la necessità di procedere</w:t>
      </w:r>
      <w:r w:rsidR="0093226C" w:rsidRPr="00033905">
        <w:rPr>
          <w:rFonts w:ascii="Garamond" w:hAnsi="Garamond" w:cs="Times New Roman"/>
          <w:b/>
          <w:iCs/>
          <w:sz w:val="23"/>
          <w:szCs w:val="23"/>
          <w:highlight w:val="yellow"/>
        </w:rPr>
        <w:t xml:space="preserve"> a verificare, anche in modalità campionaria, </w:t>
      </w:r>
      <w:r w:rsidR="00C8530B" w:rsidRPr="00033905">
        <w:rPr>
          <w:rFonts w:ascii="Garamond" w:hAnsi="Garamond" w:cs="Times New Roman"/>
          <w:b/>
          <w:iCs/>
          <w:sz w:val="23"/>
          <w:szCs w:val="23"/>
          <w:highlight w:val="yellow"/>
        </w:rPr>
        <w:t xml:space="preserve">che la dichiarazione </w:t>
      </w:r>
      <w:r w:rsidR="0093226C" w:rsidRPr="00033905">
        <w:rPr>
          <w:rFonts w:ascii="Garamond" w:hAnsi="Garamond" w:cs="Times New Roman"/>
          <w:b/>
          <w:iCs/>
          <w:sz w:val="23"/>
          <w:szCs w:val="23"/>
          <w:highlight w:val="yellow"/>
        </w:rPr>
        <w:t xml:space="preserve">in ordine al titolare </w:t>
      </w:r>
      <w:r w:rsidR="009D7B1E" w:rsidRPr="00033905">
        <w:rPr>
          <w:rFonts w:ascii="Garamond" w:hAnsi="Garamond" w:cs="Times New Roman"/>
          <w:b/>
          <w:iCs/>
          <w:sz w:val="23"/>
          <w:szCs w:val="23"/>
          <w:highlight w:val="yellow"/>
        </w:rPr>
        <w:t xml:space="preserve">effettivo </w:t>
      </w:r>
      <w:r w:rsidR="00C8530B" w:rsidRPr="00033905">
        <w:rPr>
          <w:rFonts w:ascii="Garamond" w:hAnsi="Garamond" w:cs="Times New Roman"/>
          <w:b/>
          <w:iCs/>
          <w:sz w:val="23"/>
          <w:szCs w:val="23"/>
          <w:highlight w:val="yellow"/>
        </w:rPr>
        <w:t>sia stata resa</w:t>
      </w:r>
      <w:r w:rsidRPr="00033905">
        <w:rPr>
          <w:rFonts w:ascii="Garamond" w:hAnsi="Garamond" w:cs="Times New Roman"/>
          <w:b/>
          <w:iCs/>
          <w:sz w:val="23"/>
          <w:szCs w:val="23"/>
          <w:highlight w:val="yellow"/>
        </w:rPr>
        <w:t xml:space="preserve"> </w:t>
      </w:r>
      <w:r w:rsidR="00901A23" w:rsidRPr="00033905">
        <w:rPr>
          <w:rFonts w:ascii="Garamond" w:hAnsi="Garamond" w:cs="Times New Roman"/>
          <w:b/>
          <w:iCs/>
          <w:sz w:val="23"/>
          <w:szCs w:val="23"/>
          <w:highlight w:val="yellow"/>
        </w:rPr>
        <w:t>e acquisita</w:t>
      </w:r>
      <w:r w:rsidR="006D0C65" w:rsidRPr="00033905">
        <w:rPr>
          <w:rFonts w:ascii="Garamond" w:hAnsi="Garamond" w:cs="Times New Roman"/>
          <w:b/>
          <w:iCs/>
          <w:sz w:val="23"/>
          <w:szCs w:val="23"/>
          <w:highlight w:val="yellow"/>
        </w:rPr>
        <w:t>.</w:t>
      </w:r>
    </w:p>
    <w:bookmarkEnd w:id="66"/>
    <w:p w14:paraId="03870281" w14:textId="77777777" w:rsidR="00C23E44" w:rsidRDefault="00C23E44" w:rsidP="00582EFE">
      <w:pPr>
        <w:spacing w:after="0" w:line="276" w:lineRule="auto"/>
        <w:ind w:right="-1"/>
        <w:jc w:val="both"/>
        <w:rPr>
          <w:rFonts w:ascii="Garamond" w:hAnsi="Garamond" w:cs="Times New Roman"/>
          <w:strike/>
          <w:sz w:val="23"/>
          <w:szCs w:val="23"/>
        </w:rPr>
      </w:pPr>
    </w:p>
    <w:p w14:paraId="16F4856C" w14:textId="51BA7934" w:rsidR="00C17DA0" w:rsidRPr="001E1FAC" w:rsidRDefault="00C17DA0" w:rsidP="00582EFE">
      <w:pPr>
        <w:spacing w:after="0" w:line="276" w:lineRule="auto"/>
        <w:ind w:right="-1"/>
        <w:jc w:val="both"/>
        <w:outlineLvl w:val="1"/>
        <w:rPr>
          <w:rFonts w:ascii="Garamond" w:eastAsia="Calibri" w:hAnsi="Garamond" w:cs="Times New Roman"/>
          <w:b/>
          <w:sz w:val="23"/>
          <w:szCs w:val="23"/>
        </w:rPr>
      </w:pPr>
      <w:bookmarkStart w:id="67" w:name="_Toc102136707"/>
      <w:r>
        <w:rPr>
          <w:rFonts w:ascii="Garamond" w:eastAsia="Calibri" w:hAnsi="Garamond" w:cs="Times New Roman"/>
          <w:b/>
          <w:sz w:val="23"/>
          <w:szCs w:val="23"/>
        </w:rPr>
        <w:t>2.4.8 PROGRAMAZIONE DELL’ATTUAZIONE DELLA TRASPARENZA</w:t>
      </w:r>
      <w:bookmarkEnd w:id="67"/>
    </w:p>
    <w:p w14:paraId="27C3EB57" w14:textId="77777777" w:rsidR="001C1F99" w:rsidRPr="001C1F99" w:rsidRDefault="001C1F99" w:rsidP="00582EFE">
      <w:pPr>
        <w:keepNext/>
        <w:keepLines/>
        <w:spacing w:after="0" w:line="276" w:lineRule="auto"/>
        <w:outlineLvl w:val="2"/>
        <w:rPr>
          <w:rFonts w:ascii="Garamond" w:eastAsia="Calibri" w:hAnsi="Garamond" w:cs="Times New Roman"/>
          <w:bCs/>
          <w:sz w:val="23"/>
          <w:szCs w:val="23"/>
        </w:rPr>
      </w:pPr>
      <w:bookmarkStart w:id="68" w:name="_Toc43329237"/>
      <w:bookmarkStart w:id="69" w:name="_Toc44404297"/>
      <w:bookmarkStart w:id="70" w:name="_Hlk43325906"/>
    </w:p>
    <w:p w14:paraId="47B783E7" w14:textId="77777777" w:rsidR="00E62C85" w:rsidRPr="00E62C85" w:rsidRDefault="00E62C85" w:rsidP="00E62C85">
      <w:pPr>
        <w:spacing w:after="0" w:line="276" w:lineRule="auto"/>
        <w:ind w:right="-1"/>
        <w:jc w:val="both"/>
        <w:rPr>
          <w:rFonts w:ascii="Garamond" w:eastAsia="Calibri" w:hAnsi="Garamond" w:cs="Times New Roman"/>
          <w:b/>
          <w:i/>
          <w:smallCaps/>
          <w:sz w:val="23"/>
          <w:szCs w:val="23"/>
        </w:rPr>
      </w:pPr>
      <w:bookmarkStart w:id="71" w:name="_Toc43329238"/>
      <w:bookmarkStart w:id="72" w:name="_Toc44404298"/>
      <w:bookmarkStart w:id="73" w:name="_Toc101344204"/>
      <w:bookmarkStart w:id="74" w:name="_Toc536623425"/>
      <w:bookmarkStart w:id="75" w:name="_Toc43329243"/>
      <w:bookmarkStart w:id="76" w:name="_Toc536623429"/>
      <w:bookmarkEnd w:id="68"/>
      <w:bookmarkEnd w:id="69"/>
      <w:r w:rsidRPr="00E62C85">
        <w:rPr>
          <w:rFonts w:ascii="Garamond" w:eastAsia="Calibri" w:hAnsi="Garamond" w:cs="Times New Roman"/>
          <w:b/>
          <w:i/>
          <w:smallCaps/>
          <w:sz w:val="23"/>
          <w:szCs w:val="23"/>
        </w:rPr>
        <w:t xml:space="preserve">Evoluzione della Trasparenza Amministrativa nell’Ordinamento </w:t>
      </w:r>
    </w:p>
    <w:p w14:paraId="664C0CA8" w14:textId="77777777" w:rsidR="00E62C85" w:rsidRPr="00E62C85" w:rsidRDefault="00E62C85" w:rsidP="00E62C85">
      <w:pPr>
        <w:autoSpaceDE w:val="0"/>
        <w:autoSpaceDN w:val="0"/>
        <w:adjustRightInd w:val="0"/>
        <w:spacing w:after="0" w:line="276" w:lineRule="auto"/>
        <w:jc w:val="both"/>
        <w:rPr>
          <w:rFonts w:ascii="Garamond" w:eastAsia="Calibri" w:hAnsi="Garamond" w:cs="Times New Roman"/>
          <w:sz w:val="23"/>
          <w:szCs w:val="23"/>
        </w:rPr>
      </w:pPr>
      <w:r w:rsidRPr="00E62C85">
        <w:rPr>
          <w:rFonts w:ascii="Garamond" w:eastAsia="Calibri" w:hAnsi="Garamond" w:cs="Times New Roman"/>
          <w:sz w:val="23"/>
          <w:szCs w:val="23"/>
        </w:rPr>
        <w:t xml:space="preserve">I primi principi di trasparenza nel nostro ordinamento si individuano già tra quelli ispiratori della L. 7 agosto 1990, n. 241. Ma è il </w:t>
      </w:r>
      <w:proofErr w:type="spellStart"/>
      <w:proofErr w:type="gramStart"/>
      <w:r w:rsidRPr="00E62C85">
        <w:rPr>
          <w:rFonts w:ascii="Garamond" w:eastAsia="Calibri" w:hAnsi="Garamond" w:cs="Times New Roman"/>
          <w:sz w:val="23"/>
          <w:szCs w:val="23"/>
        </w:rPr>
        <w:t>D.Lgs</w:t>
      </w:r>
      <w:proofErr w:type="gramEnd"/>
      <w:r w:rsidRPr="00E62C85">
        <w:rPr>
          <w:rFonts w:ascii="Garamond" w:eastAsia="Calibri" w:hAnsi="Garamond" w:cs="Times New Roman"/>
          <w:sz w:val="23"/>
          <w:szCs w:val="23"/>
        </w:rPr>
        <w:t>.</w:t>
      </w:r>
      <w:proofErr w:type="spellEnd"/>
      <w:r w:rsidRPr="00E62C85">
        <w:rPr>
          <w:rFonts w:ascii="Garamond" w:eastAsia="Calibri" w:hAnsi="Garamond" w:cs="Times New Roman"/>
          <w:sz w:val="23"/>
          <w:szCs w:val="23"/>
        </w:rPr>
        <w:t xml:space="preserve"> 27 ottobre 2009, n. 150, recante “</w:t>
      </w:r>
      <w:r w:rsidRPr="00E62C85">
        <w:rPr>
          <w:rFonts w:ascii="Garamond" w:eastAsia="Calibri" w:hAnsi="Garamond" w:cs="Times New Roman"/>
          <w:i/>
          <w:sz w:val="23"/>
          <w:szCs w:val="23"/>
        </w:rPr>
        <w:t>Attuazione della legge 4 marzo 2009, n. 15, in materia di ottimizzazione della produttività del lavoro pubblico e di efficienza e trasparenza delle pubbliche amministrazioni</w:t>
      </w:r>
      <w:r w:rsidRPr="00E62C85">
        <w:rPr>
          <w:rFonts w:ascii="Garamond" w:eastAsia="Calibri" w:hAnsi="Garamond" w:cs="Times New Roman"/>
          <w:sz w:val="23"/>
          <w:szCs w:val="23"/>
        </w:rPr>
        <w:t xml:space="preserve">” ad introdurre e a disciplinare gli obblighi di pubblicazione per le Amministrazioni pubbliche. Infatti, al comma 2 </w:t>
      </w:r>
      <w:r w:rsidRPr="00E62C85">
        <w:rPr>
          <w:rFonts w:ascii="Garamond" w:eastAsia="Calibri" w:hAnsi="Garamond" w:cs="Times New Roman"/>
          <w:sz w:val="23"/>
          <w:szCs w:val="23"/>
        </w:rPr>
        <w:lastRenderedPageBreak/>
        <w:t xml:space="preserve">dell’art. 11 del predetto Decreto, rubricato “Trasparenza”, è previsto l’obbligo per ogni amministrazione, di adottare un Programma triennale per la trasparenza e l'integrità, da aggiornare annualmente, che indicasse le iniziative previste a garantire: </w:t>
      </w:r>
    </w:p>
    <w:p w14:paraId="0E8E7DC6" w14:textId="77777777" w:rsidR="00E62C85" w:rsidRPr="00E62C85" w:rsidRDefault="00E62C85" w:rsidP="00E62C85">
      <w:pPr>
        <w:autoSpaceDE w:val="0"/>
        <w:autoSpaceDN w:val="0"/>
        <w:adjustRightInd w:val="0"/>
        <w:spacing w:after="0" w:line="276" w:lineRule="auto"/>
        <w:jc w:val="both"/>
        <w:rPr>
          <w:rFonts w:ascii="Garamond" w:eastAsia="Calibri" w:hAnsi="Garamond" w:cs="Times New Roman"/>
          <w:sz w:val="23"/>
          <w:szCs w:val="23"/>
        </w:rPr>
      </w:pPr>
      <w:r w:rsidRPr="00E62C85">
        <w:rPr>
          <w:rFonts w:ascii="Garamond" w:eastAsia="Calibri" w:hAnsi="Garamond" w:cs="Times New Roman"/>
          <w:sz w:val="23"/>
          <w:szCs w:val="23"/>
        </w:rPr>
        <w:t xml:space="preserve">a) un adeguato livello di trasparenza; </w:t>
      </w:r>
    </w:p>
    <w:p w14:paraId="0B7BC842" w14:textId="77777777" w:rsidR="00E62C85" w:rsidRPr="00E62C85" w:rsidRDefault="00E62C85" w:rsidP="00E62C85">
      <w:pPr>
        <w:autoSpaceDE w:val="0"/>
        <w:autoSpaceDN w:val="0"/>
        <w:adjustRightInd w:val="0"/>
        <w:spacing w:after="0" w:line="276" w:lineRule="auto"/>
        <w:jc w:val="both"/>
        <w:rPr>
          <w:rFonts w:ascii="Garamond" w:eastAsia="Calibri" w:hAnsi="Garamond" w:cs="Times New Roman"/>
          <w:sz w:val="23"/>
          <w:szCs w:val="23"/>
        </w:rPr>
      </w:pPr>
      <w:r w:rsidRPr="00E62C85">
        <w:rPr>
          <w:rFonts w:ascii="Garamond" w:eastAsia="Calibri" w:hAnsi="Garamond" w:cs="Times New Roman"/>
          <w:sz w:val="23"/>
          <w:szCs w:val="23"/>
        </w:rPr>
        <w:t xml:space="preserve">b) la legalità e lo sviluppo della cultura dell'integrità. </w:t>
      </w:r>
    </w:p>
    <w:p w14:paraId="26BE4FB7" w14:textId="77777777" w:rsidR="00E62C85" w:rsidRPr="00E62C85" w:rsidRDefault="00E62C85" w:rsidP="00E62C85">
      <w:pPr>
        <w:spacing w:after="0" w:line="276" w:lineRule="auto"/>
        <w:jc w:val="both"/>
        <w:rPr>
          <w:rFonts w:ascii="Garamond" w:eastAsia="Calibri" w:hAnsi="Garamond" w:cs="Times New Roman"/>
          <w:sz w:val="23"/>
          <w:szCs w:val="23"/>
        </w:rPr>
      </w:pPr>
      <w:r w:rsidRPr="00E62C85">
        <w:rPr>
          <w:rFonts w:ascii="Garamond" w:hAnsi="Garamond" w:cs="Garamond"/>
          <w:color w:val="000000"/>
          <w:sz w:val="23"/>
          <w:szCs w:val="23"/>
        </w:rPr>
        <w:t xml:space="preserve">Il comma 3 del citato articolo 11 del </w:t>
      </w:r>
      <w:proofErr w:type="spellStart"/>
      <w:proofErr w:type="gramStart"/>
      <w:r w:rsidRPr="00E62C85">
        <w:rPr>
          <w:rFonts w:ascii="Garamond" w:hAnsi="Garamond" w:cs="Garamond"/>
          <w:color w:val="000000"/>
          <w:sz w:val="23"/>
          <w:szCs w:val="23"/>
        </w:rPr>
        <w:t>D.Lgs</w:t>
      </w:r>
      <w:proofErr w:type="gramEnd"/>
      <w:r w:rsidRPr="00E62C85">
        <w:rPr>
          <w:rFonts w:ascii="Garamond" w:hAnsi="Garamond" w:cs="Garamond"/>
          <w:color w:val="000000"/>
          <w:sz w:val="23"/>
          <w:szCs w:val="23"/>
        </w:rPr>
        <w:t>.</w:t>
      </w:r>
      <w:proofErr w:type="spellEnd"/>
      <w:r w:rsidRPr="00E62C85">
        <w:rPr>
          <w:rFonts w:ascii="Garamond" w:hAnsi="Garamond" w:cs="Garamond"/>
          <w:color w:val="000000"/>
          <w:sz w:val="23"/>
          <w:szCs w:val="23"/>
        </w:rPr>
        <w:t xml:space="preserve"> 150/2009 stabiliva che “Le amministrazioni pubbliche garantiscono la massima trasparenza in ogni fase del ciclo di gestione della performance”. </w:t>
      </w:r>
    </w:p>
    <w:p w14:paraId="6E04DABF" w14:textId="77777777" w:rsidR="00E62C85" w:rsidRPr="00E62C85" w:rsidRDefault="00E62C85" w:rsidP="00E62C85">
      <w:pPr>
        <w:spacing w:after="0" w:line="276" w:lineRule="auto"/>
        <w:jc w:val="both"/>
        <w:rPr>
          <w:rFonts w:ascii="Garamond" w:eastAsia="Calibri" w:hAnsi="Garamond" w:cs="Times New Roman"/>
          <w:b/>
          <w:bCs/>
          <w:sz w:val="23"/>
          <w:szCs w:val="23"/>
        </w:rPr>
      </w:pPr>
      <w:r w:rsidRPr="00E62C85">
        <w:rPr>
          <w:rFonts w:ascii="Garamond" w:eastAsia="Calibri" w:hAnsi="Garamond" w:cs="Times New Roman"/>
          <w:sz w:val="23"/>
          <w:szCs w:val="23"/>
        </w:rPr>
        <w:t xml:space="preserve">All’indomani della grave crisi economica che ha interessato il nostro Paese negli anni 2010 e 2011, entrava in vigore la legge 6 novembre 2012, n. 190, recante </w:t>
      </w:r>
      <w:r w:rsidRPr="00E62C85">
        <w:rPr>
          <w:rFonts w:ascii="Garamond" w:eastAsia="Calibri" w:hAnsi="Garamond" w:cs="Times New Roman"/>
          <w:i/>
          <w:sz w:val="23"/>
          <w:szCs w:val="23"/>
        </w:rPr>
        <w:t>“</w:t>
      </w:r>
      <w:r w:rsidRPr="00E62C85">
        <w:rPr>
          <w:rFonts w:ascii="Garamond" w:eastAsia="Calibri" w:hAnsi="Garamond" w:cs="Times New Roman"/>
          <w:bCs/>
          <w:i/>
          <w:sz w:val="23"/>
          <w:szCs w:val="23"/>
        </w:rPr>
        <w:t>Disposizioni per la prevenzione e la repressione della corruzione e dell'illegalità nella pubblica amministrazione</w:t>
      </w:r>
      <w:r w:rsidRPr="00E62C85">
        <w:rPr>
          <w:rFonts w:ascii="Garamond" w:eastAsia="Calibri" w:hAnsi="Garamond" w:cs="Times New Roman"/>
          <w:bCs/>
          <w:sz w:val="23"/>
          <w:szCs w:val="23"/>
        </w:rPr>
        <w:t>”</w:t>
      </w:r>
      <w:r w:rsidRPr="00E62C85">
        <w:rPr>
          <w:rFonts w:ascii="Garamond" w:eastAsia="Calibri" w:hAnsi="Garamond" w:cs="Times New Roman"/>
          <w:sz w:val="23"/>
          <w:szCs w:val="23"/>
        </w:rPr>
        <w:t xml:space="preserve">. </w:t>
      </w:r>
    </w:p>
    <w:p w14:paraId="4B48C53A" w14:textId="77777777" w:rsidR="00E62C85" w:rsidRPr="00E62C85" w:rsidRDefault="00E62C85" w:rsidP="00E62C85">
      <w:pPr>
        <w:spacing w:after="0" w:line="276" w:lineRule="auto"/>
        <w:jc w:val="both"/>
        <w:rPr>
          <w:rFonts w:ascii="Garamond" w:eastAsia="Calibri" w:hAnsi="Garamond" w:cs="Times New Roman"/>
          <w:bCs/>
          <w:sz w:val="23"/>
          <w:szCs w:val="23"/>
        </w:rPr>
      </w:pPr>
      <w:r w:rsidRPr="00E62C85">
        <w:rPr>
          <w:rFonts w:ascii="Garamond" w:eastAsia="Calibri" w:hAnsi="Garamond" w:cs="Times New Roman"/>
          <w:bCs/>
          <w:sz w:val="23"/>
          <w:szCs w:val="23"/>
        </w:rPr>
        <w:t xml:space="preserve">Trattasi di una legge delega che introduce nell’ordinamento italiano disposizioni ed istituti di notevole impatto e rilevanza, in attuazione di norme internazionali dirette a combattere la corruzione a livello mondiale, nello specifico l’articolo 6 della </w:t>
      </w:r>
      <w:r w:rsidRPr="00E62C85">
        <w:rPr>
          <w:rFonts w:ascii="Garamond" w:eastAsia="Calibri" w:hAnsi="Garamond" w:cs="Times New Roman"/>
          <w:bCs/>
          <w:i/>
          <w:sz w:val="23"/>
          <w:szCs w:val="23"/>
        </w:rPr>
        <w:t>Convenzione dell’Organizzazione delle Nazioni Unite contro la corruzione</w:t>
      </w:r>
      <w:r w:rsidRPr="00E62C85">
        <w:rPr>
          <w:rFonts w:ascii="Garamond" w:eastAsia="Calibri" w:hAnsi="Garamond" w:cs="Times New Roman"/>
          <w:bCs/>
          <w:sz w:val="23"/>
          <w:szCs w:val="23"/>
        </w:rPr>
        <w:t xml:space="preserve">, adottata il 31 ottobre 2003 </w:t>
      </w:r>
      <w:r w:rsidRPr="00E62C85">
        <w:rPr>
          <w:rFonts w:ascii="Garamond" w:eastAsia="Calibri" w:hAnsi="Garamond" w:cs="Times New Roman"/>
          <w:bCs/>
          <w:i/>
          <w:sz w:val="23"/>
          <w:szCs w:val="23"/>
        </w:rPr>
        <w:t>dall’Assemblea Generale dell’ONU,</w:t>
      </w:r>
      <w:r w:rsidRPr="00E62C85">
        <w:rPr>
          <w:rFonts w:ascii="Garamond" w:eastAsia="Calibri" w:hAnsi="Garamond" w:cs="Times New Roman"/>
          <w:bCs/>
          <w:sz w:val="23"/>
          <w:szCs w:val="23"/>
        </w:rPr>
        <w:t xml:space="preserve"> ratificata con legge 116/2009, nonché gli articoli 20 e 21 della </w:t>
      </w:r>
      <w:r w:rsidRPr="00E62C85">
        <w:rPr>
          <w:rFonts w:ascii="Garamond" w:eastAsia="Calibri" w:hAnsi="Garamond" w:cs="Times New Roman"/>
          <w:bCs/>
          <w:i/>
          <w:sz w:val="23"/>
          <w:szCs w:val="23"/>
        </w:rPr>
        <w:t>Convenzione penale sulla corruzione</w:t>
      </w:r>
      <w:r w:rsidRPr="00E62C85">
        <w:rPr>
          <w:rFonts w:ascii="Garamond" w:eastAsia="Calibri" w:hAnsi="Garamond" w:cs="Times New Roman"/>
          <w:bCs/>
          <w:sz w:val="23"/>
          <w:szCs w:val="23"/>
        </w:rPr>
        <w:t xml:space="preserve"> (Strasburgo 27 gennaio 1999), ratificata con la legge n. 110/2012.</w:t>
      </w:r>
    </w:p>
    <w:p w14:paraId="41C31504" w14:textId="77777777" w:rsidR="00E62C85" w:rsidRPr="00E62C85" w:rsidRDefault="00E62C85" w:rsidP="00E62C85">
      <w:pPr>
        <w:spacing w:after="0" w:line="276" w:lineRule="auto"/>
        <w:jc w:val="both"/>
        <w:rPr>
          <w:rFonts w:ascii="Garamond" w:eastAsia="Calibri" w:hAnsi="Garamond" w:cs="Times New Roman"/>
          <w:b/>
          <w:sz w:val="23"/>
          <w:szCs w:val="23"/>
        </w:rPr>
      </w:pPr>
      <w:r w:rsidRPr="00E62C85">
        <w:rPr>
          <w:rFonts w:ascii="Garamond" w:eastAsia="Calibri" w:hAnsi="Garamond" w:cs="Times New Roman"/>
          <w:sz w:val="23"/>
          <w:szCs w:val="23"/>
        </w:rPr>
        <w:t>L’art. 1, comma 15 della L. 190/2016 reca la seguente definizione di trasparenza:</w:t>
      </w:r>
    </w:p>
    <w:p w14:paraId="740A1736" w14:textId="77777777" w:rsidR="00E62C85" w:rsidRPr="00E62C85" w:rsidRDefault="00E62C85" w:rsidP="00E62C85">
      <w:pPr>
        <w:spacing w:after="0" w:line="276" w:lineRule="auto"/>
        <w:jc w:val="both"/>
        <w:rPr>
          <w:rFonts w:ascii="Garamond" w:eastAsia="Calibri" w:hAnsi="Garamond" w:cs="Times New Roman"/>
          <w:i/>
          <w:sz w:val="23"/>
          <w:szCs w:val="23"/>
        </w:rPr>
      </w:pPr>
      <w:r w:rsidRPr="00E62C85">
        <w:rPr>
          <w:rFonts w:ascii="Garamond" w:eastAsia="Calibri" w:hAnsi="Garamond" w:cs="Times New Roman"/>
          <w:sz w:val="23"/>
          <w:szCs w:val="23"/>
        </w:rPr>
        <w:t>“</w:t>
      </w:r>
      <w:r w:rsidRPr="00E62C85">
        <w:rPr>
          <w:rFonts w:ascii="Garamond" w:eastAsia="Calibri" w:hAnsi="Garamond" w:cs="Times New Roman"/>
          <w:i/>
          <w:sz w:val="23"/>
          <w:szCs w:val="23"/>
        </w:rPr>
        <w:t>Ai fini della presente legge, la trasparenza dell'attività amministrativa, che costituisce livello essenziale delle prestazioni concernenti i diritti sociali e civili ai sensi dell'articolo 117, secondo comma, lettera m), della Costituzione, secondo quanto previsto all'articolo 11 del decreto  legislativo 27 ottobre 2009, n.150, è assicurata mediante la pubblicazione, nei siti web istituzionali delle pubbliche amministrazioni, delle informazioni relative ai procedimenti amministrativi, secondo criteri di facile accessibilità, completezza e semplicità di consultazione, nel rispetto delle disposizioni in materia di segreto di Stato, di segreto d'ufficio e di protezione dei dati personali. Nei siti web istituzionali delle amministrazioni pubbliche sono pubblicati anche i relativi bilanci e conti consuntivi, nonché i costi unitari di realizzazione delle opere pubbliche e di produzione dei servizi erogati ai cittadini. Le informazioni sui costi sono pubblicate sulla base di uno schema tipo redatto dall'Autorità per la vigilanza sui contratti pubblici di lavori, servizi e forniture, che ne cura altresì la raccolta e la pubblicazione nel proprio sito web istituzionale al fine di consentirne un’agevole comparazione”.</w:t>
      </w:r>
    </w:p>
    <w:p w14:paraId="42296DE0" w14:textId="77777777" w:rsidR="00E62C85" w:rsidRPr="00E62C85" w:rsidRDefault="00E62C85" w:rsidP="00E62C85">
      <w:pPr>
        <w:spacing w:after="0" w:line="276" w:lineRule="auto"/>
        <w:jc w:val="both"/>
        <w:rPr>
          <w:rFonts w:ascii="Garamond" w:eastAsia="Calibri" w:hAnsi="Garamond" w:cs="Times New Roman"/>
          <w:sz w:val="23"/>
          <w:szCs w:val="23"/>
        </w:rPr>
      </w:pPr>
      <w:r w:rsidRPr="00E62C85">
        <w:rPr>
          <w:rFonts w:ascii="Garamond" w:eastAsia="Calibri" w:hAnsi="Garamond" w:cs="Times New Roman"/>
          <w:sz w:val="23"/>
          <w:szCs w:val="23"/>
        </w:rPr>
        <w:t>Il comma 36, infine, ribadisce che: “</w:t>
      </w:r>
      <w:r w:rsidRPr="00E62C85">
        <w:rPr>
          <w:rFonts w:ascii="Garamond" w:eastAsia="Calibri" w:hAnsi="Garamond" w:cs="Times New Roman"/>
          <w:i/>
          <w:sz w:val="23"/>
          <w:szCs w:val="23"/>
        </w:rPr>
        <w:t>Le disposizioni di cui al decreto legislativo adottato ai sensi del comma 35 integrano l'individuazione del livello essenziale delle prestazioni erogate dalle amministrazioni pubbliche a fini di trasparenza, prevenzione, contrasto della corruzione e della cattiva amministrazione, a norma dell' articolo 117, secondo comma, lettera m), della Costituzione, e costituiscono altresì esercizio della funzione di coordinamento informativo statistico e informatico dei dati dell'amministrazione statale, regionale e locale, di cui all' articolo 117, secondo comma, lettera r), della Costituzione</w:t>
      </w:r>
      <w:r w:rsidRPr="00E62C85">
        <w:rPr>
          <w:rFonts w:ascii="Garamond" w:eastAsia="Calibri" w:hAnsi="Garamond" w:cs="Times New Roman"/>
          <w:sz w:val="23"/>
          <w:szCs w:val="23"/>
        </w:rPr>
        <w:t>”.</w:t>
      </w:r>
    </w:p>
    <w:p w14:paraId="4A68FC92" w14:textId="77777777" w:rsidR="00E62C85" w:rsidRPr="00E62C85" w:rsidRDefault="00E62C85" w:rsidP="00E62C85">
      <w:pPr>
        <w:spacing w:after="0" w:line="276" w:lineRule="auto"/>
        <w:ind w:right="-1"/>
        <w:jc w:val="both"/>
        <w:rPr>
          <w:rFonts w:ascii="Garamond" w:hAnsi="Garamond" w:cs="Times New Roman"/>
          <w:b/>
          <w:i/>
          <w:sz w:val="23"/>
          <w:szCs w:val="23"/>
        </w:rPr>
      </w:pPr>
      <w:r w:rsidRPr="00E62C85">
        <w:rPr>
          <w:rFonts w:ascii="Garamond" w:hAnsi="Garamond" w:cs="Times New Roman"/>
          <w:b/>
          <w:i/>
          <w:sz w:val="23"/>
          <w:szCs w:val="23"/>
        </w:rPr>
        <w:t>Il decreto legislativo 14 marzo 2013, n. 33: “Riordino della disciplina riguardante il diritto di accesso civico e gli obblighi di pubblicità, trasparenza e diffusione di informazioni da parte delle pubbliche amministrazioni”.</w:t>
      </w:r>
      <w:bookmarkEnd w:id="71"/>
      <w:bookmarkEnd w:id="72"/>
      <w:bookmarkEnd w:id="73"/>
    </w:p>
    <w:p w14:paraId="38AE50D8"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Calibri" w:hAnsi="Garamond" w:cs="Times New Roman"/>
          <w:sz w:val="23"/>
          <w:szCs w:val="23"/>
        </w:rPr>
        <w:t>In attuazione delle disposizioni relative alla trasparenza contenute nella L. 190/2012 e della delega ivi conferita per il riordino della disciplina riguardante gli obblighi di pubblicità, trasparenza e diffusione di informazioni da parte delle pubbliche amministrazioni, c</w:t>
      </w:r>
      <w:r w:rsidRPr="00E62C85">
        <w:rPr>
          <w:rFonts w:ascii="Garamond" w:eastAsia="Times New Roman" w:hAnsi="Garamond" w:cs="Times New Roman"/>
          <w:sz w:val="23"/>
          <w:szCs w:val="23"/>
          <w:lang w:eastAsia="it-IT"/>
        </w:rPr>
        <w:t xml:space="preserve">on l’adozione del </w:t>
      </w:r>
      <w:r w:rsidRPr="00E62C85">
        <w:rPr>
          <w:rFonts w:ascii="Garamond" w:eastAsia="Times New Roman" w:hAnsi="Garamond" w:cs="Times New Roman"/>
          <w:b/>
          <w:sz w:val="23"/>
          <w:szCs w:val="23"/>
          <w:lang w:eastAsia="it-IT"/>
        </w:rPr>
        <w:t>d.lgs. 14 marzo 2013, n. 33</w:t>
      </w:r>
      <w:r w:rsidRPr="00E62C85">
        <w:rPr>
          <w:rFonts w:ascii="Garamond" w:eastAsia="Times New Roman" w:hAnsi="Garamond" w:cs="Times New Roman"/>
          <w:sz w:val="23"/>
          <w:szCs w:val="23"/>
          <w:lang w:eastAsia="it-IT"/>
        </w:rPr>
        <w:t xml:space="preserve">, recante “Riordino della disciplina riguardante il diritto di accesso civico e gli obblighi di pubblicità, trasparenza e diffusione di informazioni da parte delle pubbliche amministrazioni” l’insieme delle norme eterogenee emanate in materia di trasparenza amministrativa ha finalmente trovato una propria sistematicità ed organicità. </w:t>
      </w:r>
    </w:p>
    <w:p w14:paraId="12604636"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La pubblicazione dei dati e delle informazioni diviene ordinata ed omogenea per tutte le pubbliche amministrazioni e gli altri soggetti individuati, tenuti ad istituire sui propri siti istituzionali un’apposita sezione denominata “</w:t>
      </w:r>
      <w:r w:rsidRPr="00E62C85">
        <w:rPr>
          <w:rFonts w:ascii="Garamond" w:eastAsia="Times New Roman" w:hAnsi="Garamond" w:cs="Times New Roman"/>
          <w:i/>
          <w:sz w:val="23"/>
          <w:szCs w:val="23"/>
          <w:lang w:eastAsia="it-IT"/>
        </w:rPr>
        <w:t>Amministrazione Trasparente</w:t>
      </w:r>
      <w:r w:rsidRPr="00E62C85">
        <w:rPr>
          <w:rFonts w:ascii="Garamond" w:eastAsia="Times New Roman" w:hAnsi="Garamond" w:cs="Times New Roman"/>
          <w:sz w:val="23"/>
          <w:szCs w:val="23"/>
          <w:lang w:eastAsia="it-IT"/>
        </w:rPr>
        <w:t>”, organizzata in sottosezioni di primo e di secondo livello (corrispondenti a tipologie specifiche di dati da pubblicare), in conformità all’</w:t>
      </w:r>
      <w:r w:rsidRPr="00E62C85">
        <w:rPr>
          <w:rFonts w:ascii="Garamond" w:eastAsia="Times New Roman" w:hAnsi="Garamond" w:cs="Times New Roman"/>
          <w:i/>
          <w:sz w:val="23"/>
          <w:szCs w:val="23"/>
          <w:lang w:eastAsia="it-IT"/>
        </w:rPr>
        <w:t xml:space="preserve">Allegato A </w:t>
      </w:r>
      <w:r w:rsidRPr="00E62C85">
        <w:rPr>
          <w:rFonts w:ascii="Garamond" w:eastAsia="Times New Roman" w:hAnsi="Garamond" w:cs="Times New Roman"/>
          <w:sz w:val="23"/>
          <w:szCs w:val="23"/>
          <w:lang w:eastAsia="it-IT"/>
        </w:rPr>
        <w:t>allo stesso decreto 33/2013, che ne dettaglia la struttura.</w:t>
      </w:r>
    </w:p>
    <w:p w14:paraId="127253FF" w14:textId="77777777" w:rsidR="00E62C85" w:rsidRPr="00E62C85" w:rsidRDefault="00E62C85" w:rsidP="00E62C85">
      <w:pPr>
        <w:autoSpaceDE w:val="0"/>
        <w:autoSpaceDN w:val="0"/>
        <w:adjustRightInd w:val="0"/>
        <w:spacing w:after="0" w:line="276" w:lineRule="auto"/>
        <w:jc w:val="both"/>
        <w:rPr>
          <w:rFonts w:ascii="Garamond" w:eastAsia="Calibri" w:hAnsi="Garamond" w:cs="Times New Roman"/>
          <w:sz w:val="23"/>
          <w:szCs w:val="23"/>
        </w:rPr>
      </w:pPr>
      <w:r w:rsidRPr="00E62C85">
        <w:rPr>
          <w:rFonts w:ascii="Garamond" w:eastAsia="Calibri" w:hAnsi="Garamond" w:cs="Times New Roman"/>
          <w:sz w:val="23"/>
          <w:szCs w:val="23"/>
        </w:rPr>
        <w:t xml:space="preserve">In attuazione della delega conferita al Governo ai sensi della Legge n. 124/2015 (cd. Legge Madia di riforma delle pubbliche amministrazioni, cui hanno fatto seguito altri importanti decreti attuativi rilevanti per la </w:t>
      </w:r>
      <w:r w:rsidRPr="00E62C85">
        <w:rPr>
          <w:rFonts w:ascii="Garamond" w:eastAsia="Calibri" w:hAnsi="Garamond" w:cs="Times New Roman"/>
          <w:sz w:val="23"/>
          <w:szCs w:val="23"/>
        </w:rPr>
        <w:lastRenderedPageBreak/>
        <w:t>trasparenza e l’anticorruzione), a distanza di tre anni dall’entrata in vigore del decreto 33/2013,</w:t>
      </w:r>
      <w:r w:rsidRPr="00E62C85">
        <w:rPr>
          <w:rFonts w:ascii="Garamond" w:eastAsia="Calibri" w:hAnsi="Garamond" w:cs="Times New Roman"/>
          <w:b/>
          <w:sz w:val="23"/>
          <w:szCs w:val="23"/>
        </w:rPr>
        <w:t xml:space="preserve"> </w:t>
      </w:r>
      <w:r w:rsidRPr="00E62C85">
        <w:rPr>
          <w:rFonts w:ascii="Garamond" w:eastAsia="Calibri" w:hAnsi="Garamond" w:cs="Times New Roman"/>
          <w:sz w:val="23"/>
          <w:szCs w:val="23"/>
        </w:rPr>
        <w:t>viene emanato il d.lgs. 25 maggio 2016, n. 97 recante: “</w:t>
      </w:r>
      <w:r w:rsidRPr="00E62C85">
        <w:rPr>
          <w:rFonts w:ascii="Garamond" w:eastAsia="Calibri" w:hAnsi="Garamond" w:cs="Times New Roman"/>
          <w:i/>
          <w:sz w:val="23"/>
          <w:szCs w:val="23"/>
        </w:rPr>
        <w:t>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w:t>
      </w:r>
      <w:r w:rsidRPr="00E62C85">
        <w:rPr>
          <w:rFonts w:ascii="Garamond" w:eastAsia="Calibri" w:hAnsi="Garamond" w:cs="Times New Roman"/>
          <w:sz w:val="23"/>
          <w:szCs w:val="23"/>
        </w:rPr>
        <w:t>. Detto decreto ha apportato numerose modifiche alla normativa in materia di trasparenza e prevenzione della corruzione, ridefinendo e ampliando anche l’ambito soggettivo di applicazione ed introducendo, quantomeno negli obiettivi, alcune semplificazioni agli obblighi di pubblicazione previsti dall’originario testo del decreto 33/2013.</w:t>
      </w:r>
    </w:p>
    <w:p w14:paraId="470D10F6"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A seguito delle modifiche introdotte dal </w:t>
      </w:r>
      <w:proofErr w:type="spellStart"/>
      <w:proofErr w:type="gramStart"/>
      <w:r w:rsidRPr="00E62C85">
        <w:rPr>
          <w:rFonts w:ascii="Garamond" w:eastAsia="Times New Roman" w:hAnsi="Garamond" w:cs="Times New Roman"/>
          <w:sz w:val="23"/>
          <w:szCs w:val="23"/>
          <w:lang w:eastAsia="it-IT"/>
        </w:rPr>
        <w:t>D.Lgs</w:t>
      </w:r>
      <w:proofErr w:type="gramEnd"/>
      <w:r w:rsidRPr="00E62C85">
        <w:rPr>
          <w:rFonts w:ascii="Garamond" w:eastAsia="Times New Roman" w:hAnsi="Garamond" w:cs="Times New Roman"/>
          <w:sz w:val="23"/>
          <w:szCs w:val="23"/>
          <w:lang w:eastAsia="it-IT"/>
        </w:rPr>
        <w:t>.</w:t>
      </w:r>
      <w:proofErr w:type="spellEnd"/>
      <w:r w:rsidRPr="00E62C85">
        <w:rPr>
          <w:rFonts w:ascii="Garamond" w:eastAsia="Times New Roman" w:hAnsi="Garamond" w:cs="Times New Roman"/>
          <w:sz w:val="23"/>
          <w:szCs w:val="23"/>
          <w:lang w:eastAsia="it-IT"/>
        </w:rPr>
        <w:t xml:space="preserve"> 97/2016 al </w:t>
      </w:r>
      <w:proofErr w:type="spellStart"/>
      <w:proofErr w:type="gramStart"/>
      <w:r w:rsidRPr="00E62C85">
        <w:rPr>
          <w:rFonts w:ascii="Garamond" w:eastAsia="Times New Roman" w:hAnsi="Garamond" w:cs="Times New Roman"/>
          <w:sz w:val="23"/>
          <w:szCs w:val="23"/>
          <w:lang w:eastAsia="it-IT"/>
        </w:rPr>
        <w:t>D.Lgs</w:t>
      </w:r>
      <w:proofErr w:type="gramEnd"/>
      <w:r w:rsidRPr="00E62C85">
        <w:rPr>
          <w:rFonts w:ascii="Garamond" w:eastAsia="Times New Roman" w:hAnsi="Garamond" w:cs="Times New Roman"/>
          <w:sz w:val="23"/>
          <w:szCs w:val="23"/>
          <w:lang w:eastAsia="it-IT"/>
        </w:rPr>
        <w:t>.</w:t>
      </w:r>
      <w:proofErr w:type="spellEnd"/>
      <w:r w:rsidRPr="00E62C85">
        <w:rPr>
          <w:rFonts w:ascii="Garamond" w:eastAsia="Times New Roman" w:hAnsi="Garamond" w:cs="Times New Roman"/>
          <w:sz w:val="23"/>
          <w:szCs w:val="23"/>
          <w:lang w:eastAsia="it-IT"/>
        </w:rPr>
        <w:t xml:space="preserve"> 33/2013, l’ANAC con </w:t>
      </w:r>
      <w:r w:rsidRPr="00E62C85">
        <w:rPr>
          <w:rFonts w:ascii="Garamond" w:eastAsia="Calibri" w:hAnsi="Garamond" w:cs="Times New Roman"/>
          <w:sz w:val="23"/>
          <w:szCs w:val="23"/>
        </w:rPr>
        <w:t>Determinazione n. 1310 del 28 dicembre 2016,</w:t>
      </w:r>
      <w:r w:rsidRPr="00E62C85">
        <w:rPr>
          <w:rFonts w:ascii="Garamond" w:eastAsia="Times New Roman" w:hAnsi="Garamond" w:cs="Times New Roman"/>
          <w:sz w:val="23"/>
          <w:szCs w:val="23"/>
          <w:lang w:eastAsia="it-IT"/>
        </w:rPr>
        <w:t xml:space="preserve"> ha approvato le “</w:t>
      </w:r>
      <w:r w:rsidRPr="00E62C85">
        <w:rPr>
          <w:rFonts w:ascii="Garamond" w:eastAsia="Times New Roman" w:hAnsi="Garamond" w:cs="Times New Roman"/>
          <w:i/>
          <w:sz w:val="23"/>
          <w:szCs w:val="23"/>
          <w:lang w:eastAsia="it-IT"/>
        </w:rPr>
        <w:t>Prime linee guida recanti indicazioni sull’attuazione degli obblighi di pubblicità, trasparenza e diffusione di informazioni contenute nel d.lgs. 33/2013 come modificato dal d.lgs. 97/2016</w:t>
      </w:r>
      <w:r w:rsidRPr="00E62C85">
        <w:rPr>
          <w:rFonts w:ascii="Garamond" w:eastAsia="Times New Roman" w:hAnsi="Garamond" w:cs="Times New Roman"/>
          <w:sz w:val="23"/>
          <w:szCs w:val="23"/>
          <w:lang w:eastAsia="it-IT"/>
        </w:rPr>
        <w:t>”.</w:t>
      </w:r>
    </w:p>
    <w:p w14:paraId="5B509777" w14:textId="77777777" w:rsidR="00E62C85" w:rsidRPr="00E62C85" w:rsidRDefault="00E62C85" w:rsidP="00E62C85">
      <w:pPr>
        <w:spacing w:after="0" w:line="276" w:lineRule="auto"/>
        <w:jc w:val="both"/>
        <w:rPr>
          <w:rFonts w:ascii="Garamond" w:eastAsia="Calibri" w:hAnsi="Garamond" w:cs="Times New Roman"/>
          <w:b/>
          <w:sz w:val="23"/>
          <w:szCs w:val="23"/>
        </w:rPr>
      </w:pPr>
      <w:r w:rsidRPr="00E62C85">
        <w:rPr>
          <w:rFonts w:ascii="Garamond" w:eastAsia="Calibri" w:hAnsi="Garamond" w:cs="Times New Roman"/>
          <w:sz w:val="23"/>
          <w:szCs w:val="23"/>
        </w:rPr>
        <w:t xml:space="preserve">Con la predetta Determinazione 1310/2013 l’Autorità fornisce alle amministrazioni pubbliche anche un nuovo </w:t>
      </w:r>
      <w:r w:rsidRPr="00E62C85">
        <w:rPr>
          <w:rFonts w:ascii="Garamond" w:eastAsia="Calibri" w:hAnsi="Garamond" w:cs="Times New Roman"/>
          <w:i/>
          <w:sz w:val="23"/>
          <w:szCs w:val="23"/>
        </w:rPr>
        <w:t>Allegato 1,</w:t>
      </w:r>
      <w:r w:rsidRPr="00E62C85">
        <w:rPr>
          <w:rFonts w:ascii="Garamond" w:eastAsia="Calibri" w:hAnsi="Garamond" w:cs="Times New Roman"/>
          <w:b/>
          <w:sz w:val="23"/>
          <w:szCs w:val="23"/>
        </w:rPr>
        <w:t xml:space="preserve"> </w:t>
      </w:r>
      <w:r w:rsidRPr="00E62C85">
        <w:rPr>
          <w:rFonts w:ascii="Garamond" w:eastAsia="Calibri" w:hAnsi="Garamond" w:cs="Times New Roman"/>
          <w:sz w:val="23"/>
          <w:szCs w:val="23"/>
        </w:rPr>
        <w:t>relativo agli obblighi di pubblicazione ridefiniti.</w:t>
      </w:r>
      <w:r w:rsidRPr="00E62C85">
        <w:rPr>
          <w:rFonts w:ascii="Garamond" w:eastAsia="Calibri" w:hAnsi="Garamond" w:cs="Times New Roman"/>
          <w:b/>
          <w:sz w:val="23"/>
          <w:szCs w:val="23"/>
        </w:rPr>
        <w:t xml:space="preserve"> </w:t>
      </w:r>
    </w:p>
    <w:p w14:paraId="3DCF91DD" w14:textId="77777777" w:rsidR="00E62C85" w:rsidRPr="00E62C85" w:rsidRDefault="00E62C85" w:rsidP="00E62C85">
      <w:pPr>
        <w:spacing w:after="0" w:line="276" w:lineRule="auto"/>
        <w:jc w:val="both"/>
        <w:rPr>
          <w:rFonts w:ascii="Garamond" w:eastAsia="Calibri" w:hAnsi="Garamond" w:cs="Times New Roman"/>
          <w:b/>
          <w:sz w:val="23"/>
          <w:szCs w:val="23"/>
        </w:rPr>
      </w:pPr>
    </w:p>
    <w:tbl>
      <w:tblPr>
        <w:tblStyle w:val="Grigliatabella112"/>
        <w:tblW w:w="0" w:type="auto"/>
        <w:tblInd w:w="108" w:type="dxa"/>
        <w:tblLook w:val="04A0" w:firstRow="1" w:lastRow="0" w:firstColumn="1" w:lastColumn="0" w:noHBand="0" w:noVBand="1"/>
      </w:tblPr>
      <w:tblGrid>
        <w:gridCol w:w="9520"/>
      </w:tblGrid>
      <w:tr w:rsidR="00E62C85" w:rsidRPr="00E62C85" w14:paraId="43E8C3C5" w14:textId="77777777" w:rsidTr="00033905">
        <w:tc>
          <w:tcPr>
            <w:tcW w:w="9670" w:type="dxa"/>
            <w:shd w:val="clear" w:color="auto" w:fill="auto"/>
            <w:vAlign w:val="center"/>
          </w:tcPr>
          <w:p w14:paraId="5F1B98C2" w14:textId="77777777" w:rsidR="00E62C85" w:rsidRPr="00E62C85" w:rsidRDefault="00E62C85" w:rsidP="00033905">
            <w:pPr>
              <w:spacing w:line="276" w:lineRule="auto"/>
              <w:jc w:val="both"/>
              <w:rPr>
                <w:rFonts w:ascii="Garamond" w:eastAsia="Calibri" w:hAnsi="Garamond" w:cs="Times New Roman"/>
                <w:b/>
                <w:sz w:val="23"/>
                <w:szCs w:val="23"/>
              </w:rPr>
            </w:pPr>
            <w:r w:rsidRPr="00E62C85">
              <w:rPr>
                <w:rFonts w:ascii="Garamond" w:eastAsia="Calibri" w:hAnsi="Garamond" w:cs="Times New Roman"/>
                <w:sz w:val="23"/>
                <w:szCs w:val="23"/>
              </w:rPr>
              <w:t xml:space="preserve">In virtù delle modifiche apportate dal </w:t>
            </w:r>
            <w:proofErr w:type="spellStart"/>
            <w:proofErr w:type="gramStart"/>
            <w:r w:rsidRPr="00E62C85">
              <w:rPr>
                <w:rFonts w:ascii="Garamond" w:eastAsia="Calibri" w:hAnsi="Garamond" w:cs="Times New Roman"/>
                <w:sz w:val="23"/>
                <w:szCs w:val="23"/>
              </w:rPr>
              <w:t>D.Lgs</w:t>
            </w:r>
            <w:proofErr w:type="gramEnd"/>
            <w:r w:rsidRPr="00E62C85">
              <w:rPr>
                <w:rFonts w:ascii="Garamond" w:eastAsia="Calibri" w:hAnsi="Garamond" w:cs="Times New Roman"/>
                <w:sz w:val="23"/>
                <w:szCs w:val="23"/>
              </w:rPr>
              <w:t>.</w:t>
            </w:r>
            <w:proofErr w:type="spellEnd"/>
            <w:r w:rsidRPr="00E62C85">
              <w:rPr>
                <w:rFonts w:ascii="Garamond" w:eastAsia="Calibri" w:hAnsi="Garamond" w:cs="Times New Roman"/>
                <w:sz w:val="23"/>
                <w:szCs w:val="23"/>
              </w:rPr>
              <w:t xml:space="preserve"> 97/2016 alla L. 190/2012 e al </w:t>
            </w:r>
            <w:proofErr w:type="spellStart"/>
            <w:proofErr w:type="gramStart"/>
            <w:r w:rsidRPr="00E62C85">
              <w:rPr>
                <w:rFonts w:ascii="Garamond" w:eastAsia="Calibri" w:hAnsi="Garamond" w:cs="Times New Roman"/>
                <w:sz w:val="23"/>
                <w:szCs w:val="23"/>
              </w:rPr>
              <w:t>D.Lgs</w:t>
            </w:r>
            <w:proofErr w:type="gramEnd"/>
            <w:r w:rsidRPr="00E62C85">
              <w:rPr>
                <w:rFonts w:ascii="Garamond" w:eastAsia="Calibri" w:hAnsi="Garamond" w:cs="Times New Roman"/>
                <w:sz w:val="23"/>
                <w:szCs w:val="23"/>
              </w:rPr>
              <w:t>.</w:t>
            </w:r>
            <w:proofErr w:type="spellEnd"/>
            <w:r w:rsidRPr="00E62C85">
              <w:rPr>
                <w:rFonts w:ascii="Garamond" w:eastAsia="Calibri" w:hAnsi="Garamond" w:cs="Times New Roman"/>
                <w:sz w:val="23"/>
                <w:szCs w:val="23"/>
              </w:rPr>
              <w:t xml:space="preserve"> 33/2013 le pubbliche amministrazioni e gli altri soggetti di cui all’art. 2-bis del novellato decreto 33/2013 sono tenute ad approvare un unico Piano per la Prevenzione della Corruzione e per la Trasparenza (PTPCT),</w:t>
            </w:r>
            <w:r w:rsidRPr="00E62C85">
              <w:rPr>
                <w:rFonts w:ascii="Garamond" w:eastAsia="Calibri" w:hAnsi="Garamond" w:cs="Times New Roman"/>
                <w:b/>
                <w:sz w:val="23"/>
                <w:szCs w:val="23"/>
              </w:rPr>
              <w:t xml:space="preserve"> </w:t>
            </w:r>
            <w:r w:rsidRPr="00E62C85">
              <w:rPr>
                <w:rFonts w:ascii="Garamond" w:eastAsia="Calibri" w:hAnsi="Garamond" w:cs="Times New Roman"/>
                <w:sz w:val="23"/>
                <w:szCs w:val="23"/>
              </w:rPr>
              <w:t>rispetto ai due provvedimenti separati come previsto sino ad allora.</w:t>
            </w:r>
            <w:r w:rsidRPr="00E62C85">
              <w:rPr>
                <w:rFonts w:ascii="Garamond" w:eastAsia="Calibri" w:hAnsi="Garamond" w:cs="Times New Roman"/>
                <w:b/>
                <w:sz w:val="23"/>
                <w:szCs w:val="23"/>
              </w:rPr>
              <w:t xml:space="preserve"> </w:t>
            </w:r>
          </w:p>
          <w:p w14:paraId="40C043A3" w14:textId="77777777" w:rsidR="00E62C85" w:rsidRPr="00E62C85" w:rsidRDefault="00E62C85" w:rsidP="00033905">
            <w:pPr>
              <w:spacing w:line="276" w:lineRule="auto"/>
              <w:jc w:val="both"/>
              <w:rPr>
                <w:rFonts w:ascii="Garamond" w:eastAsia="Calibri" w:hAnsi="Garamond" w:cs="Times New Roman"/>
                <w:sz w:val="23"/>
                <w:szCs w:val="23"/>
              </w:rPr>
            </w:pPr>
            <w:r w:rsidRPr="00E62C85">
              <w:rPr>
                <w:rFonts w:ascii="Garamond" w:eastAsia="Calibri" w:hAnsi="Garamond" w:cs="Times New Roman"/>
                <w:sz w:val="23"/>
                <w:szCs w:val="23"/>
              </w:rPr>
              <w:t xml:space="preserve">Il nuovo Allegato 1 alla Determinazione </w:t>
            </w:r>
            <w:r w:rsidRPr="00E62C85">
              <w:rPr>
                <w:rFonts w:ascii="Garamond" w:eastAsia="Times New Roman" w:hAnsi="Garamond" w:cs="Times New Roman"/>
                <w:sz w:val="23"/>
                <w:szCs w:val="23"/>
                <w:lang w:eastAsia="it-IT"/>
              </w:rPr>
              <w:t>ANAC</w:t>
            </w:r>
            <w:r w:rsidRPr="00E62C85">
              <w:rPr>
                <w:rFonts w:ascii="Garamond" w:eastAsia="Calibri" w:hAnsi="Garamond" w:cs="Times New Roman"/>
                <w:sz w:val="23"/>
                <w:szCs w:val="23"/>
              </w:rPr>
              <w:t xml:space="preserve"> n. 1310/2016 costituisce </w:t>
            </w:r>
            <w:r w:rsidRPr="00E62C85">
              <w:rPr>
                <w:rFonts w:ascii="Garamond" w:eastAsia="Calibri" w:hAnsi="Garamond" w:cs="Times New Roman"/>
                <w:i/>
                <w:sz w:val="23"/>
                <w:szCs w:val="23"/>
              </w:rPr>
              <w:t>l’Allegato C Trasparenza</w:t>
            </w:r>
            <w:r w:rsidRPr="00E62C85">
              <w:rPr>
                <w:rFonts w:ascii="Garamond" w:eastAsia="Calibri" w:hAnsi="Garamond" w:cs="Times New Roman"/>
                <w:sz w:val="23"/>
                <w:szCs w:val="23"/>
              </w:rPr>
              <w:t>, contenente gli obblighi di pubblicazione, i soggetti responsabili e i termini di aggiornamento delle pubblicazioni. Detto allegato, insieme agli Allegati relativi alle misure di prevenzione della corruzione, va a formare il PTPCT di ogni Ente.</w:t>
            </w:r>
          </w:p>
          <w:p w14:paraId="2AEF930B" w14:textId="77777777" w:rsidR="00E62C85" w:rsidRPr="00E62C85" w:rsidRDefault="00E62C85" w:rsidP="00033905">
            <w:pPr>
              <w:spacing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Il decreto legislativo 97/2016 ha introdotto nel nostro ordinamento, attraverso una modifica all’art. 5 del </w:t>
            </w:r>
            <w:proofErr w:type="spellStart"/>
            <w:proofErr w:type="gramStart"/>
            <w:r w:rsidRPr="00E62C85">
              <w:rPr>
                <w:rFonts w:ascii="Garamond" w:eastAsia="Times New Roman" w:hAnsi="Garamond" w:cs="Times New Roman"/>
                <w:sz w:val="23"/>
                <w:szCs w:val="23"/>
                <w:lang w:eastAsia="it-IT"/>
              </w:rPr>
              <w:t>D.Lgs</w:t>
            </w:r>
            <w:proofErr w:type="gramEnd"/>
            <w:r w:rsidRPr="00E62C85">
              <w:rPr>
                <w:rFonts w:ascii="Garamond" w:eastAsia="Times New Roman" w:hAnsi="Garamond" w:cs="Times New Roman"/>
                <w:sz w:val="23"/>
                <w:szCs w:val="23"/>
                <w:lang w:eastAsia="it-IT"/>
              </w:rPr>
              <w:t>.</w:t>
            </w:r>
            <w:proofErr w:type="spellEnd"/>
            <w:r w:rsidRPr="00E62C85">
              <w:rPr>
                <w:rFonts w:ascii="Garamond" w:eastAsia="Times New Roman" w:hAnsi="Garamond" w:cs="Times New Roman"/>
                <w:sz w:val="23"/>
                <w:szCs w:val="23"/>
                <w:lang w:eastAsia="it-IT"/>
              </w:rPr>
              <w:t xml:space="preserve"> 33/2013, un istituto già conosciuto in diversi altri paesi, e cioè </w:t>
            </w:r>
            <w:r w:rsidRPr="00E62C85">
              <w:rPr>
                <w:rFonts w:ascii="Garamond" w:eastAsia="Times New Roman" w:hAnsi="Garamond" w:cs="Times New Roman"/>
                <w:b/>
                <w:sz w:val="23"/>
                <w:szCs w:val="23"/>
                <w:lang w:eastAsia="it-IT"/>
              </w:rPr>
              <w:t xml:space="preserve">l’accesso civico generalizzato, </w:t>
            </w:r>
            <w:r w:rsidRPr="00E62C85">
              <w:rPr>
                <w:rFonts w:ascii="Garamond" w:eastAsia="Times New Roman" w:hAnsi="Garamond" w:cs="Times New Roman"/>
                <w:sz w:val="23"/>
                <w:szCs w:val="23"/>
                <w:lang w:eastAsia="it-IT"/>
              </w:rPr>
              <w:t xml:space="preserve">che va ad aggiungersi </w:t>
            </w:r>
            <w:r w:rsidRPr="00E62C85">
              <w:rPr>
                <w:rFonts w:ascii="Garamond" w:eastAsia="Times New Roman" w:hAnsi="Garamond" w:cs="Times New Roman"/>
                <w:b/>
                <w:sz w:val="23"/>
                <w:szCs w:val="23"/>
                <w:lang w:eastAsia="it-IT"/>
              </w:rPr>
              <w:t>all’accesso civico semplice</w:t>
            </w:r>
            <w:r w:rsidRPr="00E62C85">
              <w:rPr>
                <w:rFonts w:ascii="Garamond" w:eastAsia="Times New Roman" w:hAnsi="Garamond" w:cs="Times New Roman"/>
                <w:sz w:val="23"/>
                <w:szCs w:val="23"/>
                <w:lang w:eastAsia="it-IT"/>
              </w:rPr>
              <w:t xml:space="preserve">, già previsto dal 1° comma del medesimo art.5 ed </w:t>
            </w:r>
            <w:r w:rsidRPr="00E62C85">
              <w:rPr>
                <w:rFonts w:ascii="Garamond" w:eastAsia="Times New Roman" w:hAnsi="Garamond" w:cs="Times New Roman"/>
                <w:b/>
                <w:sz w:val="23"/>
                <w:szCs w:val="23"/>
                <w:lang w:eastAsia="it-IT"/>
              </w:rPr>
              <w:t>all’accesso documentale</w:t>
            </w:r>
            <w:r w:rsidRPr="00E62C85">
              <w:rPr>
                <w:rFonts w:ascii="Garamond" w:eastAsia="Times New Roman" w:hAnsi="Garamond" w:cs="Times New Roman"/>
                <w:sz w:val="23"/>
                <w:szCs w:val="23"/>
                <w:lang w:eastAsia="it-IT"/>
              </w:rPr>
              <w:t xml:space="preserve"> introdotto dalla legge 241/1990.</w:t>
            </w:r>
          </w:p>
        </w:tc>
      </w:tr>
    </w:tbl>
    <w:p w14:paraId="53AB2DF0"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p>
    <w:p w14:paraId="690E3411" w14:textId="77777777" w:rsidR="00E62C85" w:rsidRPr="00E62C85" w:rsidRDefault="00E62C85" w:rsidP="00E62C85">
      <w:pPr>
        <w:spacing w:after="0" w:line="276" w:lineRule="auto"/>
        <w:ind w:right="-1"/>
        <w:jc w:val="both"/>
        <w:rPr>
          <w:rFonts w:ascii="Garamond" w:eastAsia="Calibri" w:hAnsi="Garamond" w:cs="Times New Roman"/>
          <w:b/>
          <w:i/>
          <w:smallCaps/>
          <w:sz w:val="23"/>
          <w:szCs w:val="23"/>
        </w:rPr>
      </w:pPr>
      <w:bookmarkStart w:id="77" w:name="_Toc101344205"/>
      <w:r w:rsidRPr="00E62C85">
        <w:rPr>
          <w:rFonts w:ascii="Garamond" w:eastAsia="Calibri" w:hAnsi="Garamond" w:cs="Times New Roman"/>
          <w:b/>
          <w:i/>
          <w:smallCaps/>
          <w:sz w:val="23"/>
          <w:szCs w:val="23"/>
        </w:rPr>
        <w:t xml:space="preserve">L’accesso civico generalizzato - “Foia” (art. 5, co. 2, </w:t>
      </w:r>
      <w:proofErr w:type="spellStart"/>
      <w:r w:rsidRPr="00E62C85">
        <w:rPr>
          <w:rFonts w:ascii="Garamond" w:eastAsia="Calibri" w:hAnsi="Garamond" w:cs="Times New Roman"/>
          <w:b/>
          <w:i/>
          <w:smallCaps/>
          <w:sz w:val="23"/>
          <w:szCs w:val="23"/>
        </w:rPr>
        <w:t>D.Lgs.</w:t>
      </w:r>
      <w:proofErr w:type="spellEnd"/>
      <w:r w:rsidRPr="00E62C85">
        <w:rPr>
          <w:rFonts w:ascii="Garamond" w:eastAsia="Calibri" w:hAnsi="Garamond" w:cs="Times New Roman"/>
          <w:b/>
          <w:i/>
          <w:smallCaps/>
          <w:sz w:val="23"/>
          <w:szCs w:val="23"/>
        </w:rPr>
        <w:t xml:space="preserve"> 33/2013)</w:t>
      </w:r>
      <w:bookmarkEnd w:id="77"/>
    </w:p>
    <w:p w14:paraId="60F04EE2"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L’art. 6 del </w:t>
      </w:r>
      <w:proofErr w:type="spellStart"/>
      <w:proofErr w:type="gramStart"/>
      <w:r w:rsidRPr="00E62C85">
        <w:rPr>
          <w:rFonts w:ascii="Garamond" w:eastAsia="Times New Roman" w:hAnsi="Garamond" w:cs="Times New Roman"/>
          <w:sz w:val="23"/>
          <w:szCs w:val="23"/>
          <w:lang w:eastAsia="it-IT"/>
        </w:rPr>
        <w:t>D.Lgs</w:t>
      </w:r>
      <w:proofErr w:type="gramEnd"/>
      <w:r w:rsidRPr="00E62C85">
        <w:rPr>
          <w:rFonts w:ascii="Garamond" w:eastAsia="Times New Roman" w:hAnsi="Garamond" w:cs="Times New Roman"/>
          <w:sz w:val="23"/>
          <w:szCs w:val="23"/>
          <w:lang w:eastAsia="it-IT"/>
        </w:rPr>
        <w:t>.</w:t>
      </w:r>
      <w:proofErr w:type="spellEnd"/>
      <w:r w:rsidRPr="00E62C85">
        <w:rPr>
          <w:rFonts w:ascii="Garamond" w:eastAsia="Times New Roman" w:hAnsi="Garamond" w:cs="Times New Roman"/>
          <w:sz w:val="23"/>
          <w:szCs w:val="23"/>
          <w:lang w:eastAsia="it-IT"/>
        </w:rPr>
        <w:t xml:space="preserve"> 25 maggio 2016, n. 97, con la sostituzione dell’art. 5 del </w:t>
      </w:r>
      <w:proofErr w:type="spellStart"/>
      <w:proofErr w:type="gramStart"/>
      <w:r w:rsidRPr="00E62C85">
        <w:rPr>
          <w:rFonts w:ascii="Garamond" w:eastAsia="Times New Roman" w:hAnsi="Garamond" w:cs="Times New Roman"/>
          <w:sz w:val="23"/>
          <w:szCs w:val="23"/>
          <w:lang w:eastAsia="it-IT"/>
        </w:rPr>
        <w:t>D.Lgs</w:t>
      </w:r>
      <w:proofErr w:type="gramEnd"/>
      <w:r w:rsidRPr="00E62C85">
        <w:rPr>
          <w:rFonts w:ascii="Garamond" w:eastAsia="Times New Roman" w:hAnsi="Garamond" w:cs="Times New Roman"/>
          <w:sz w:val="23"/>
          <w:szCs w:val="23"/>
          <w:lang w:eastAsia="it-IT"/>
        </w:rPr>
        <w:t>.</w:t>
      </w:r>
      <w:proofErr w:type="spellEnd"/>
      <w:r w:rsidRPr="00E62C85">
        <w:rPr>
          <w:rFonts w:ascii="Garamond" w:eastAsia="Times New Roman" w:hAnsi="Garamond" w:cs="Times New Roman"/>
          <w:sz w:val="23"/>
          <w:szCs w:val="23"/>
          <w:lang w:eastAsia="it-IT"/>
        </w:rPr>
        <w:t xml:space="preserve"> n. 33/2013, ha introdotto nel nostro ordinamento un nuovo diritto: l’</w:t>
      </w:r>
      <w:r w:rsidRPr="00E62C85">
        <w:rPr>
          <w:rFonts w:ascii="Garamond" w:eastAsia="Times New Roman" w:hAnsi="Garamond" w:cs="Times New Roman"/>
          <w:bCs/>
          <w:iCs/>
          <w:sz w:val="23"/>
          <w:szCs w:val="23"/>
          <w:lang w:eastAsia="it-IT"/>
        </w:rPr>
        <w:t>accesso civico generalizzato</w:t>
      </w:r>
      <w:r w:rsidRPr="00E62C85">
        <w:rPr>
          <w:rFonts w:ascii="Garamond" w:eastAsia="Times New Roman" w:hAnsi="Garamond" w:cs="Times New Roman"/>
          <w:b/>
          <w:bCs/>
          <w:iCs/>
          <w:sz w:val="23"/>
          <w:szCs w:val="23"/>
          <w:lang w:eastAsia="it-IT"/>
        </w:rPr>
        <w:t xml:space="preserve"> </w:t>
      </w:r>
      <w:r w:rsidRPr="00E62C85">
        <w:rPr>
          <w:rFonts w:ascii="Garamond" w:eastAsia="Times New Roman" w:hAnsi="Garamond" w:cs="Times New Roman"/>
          <w:bCs/>
          <w:iCs/>
          <w:sz w:val="23"/>
          <w:szCs w:val="23"/>
          <w:lang w:eastAsia="it-IT"/>
        </w:rPr>
        <w:t>(conosciuto anche</w:t>
      </w:r>
      <w:r w:rsidRPr="00E62C85">
        <w:rPr>
          <w:rFonts w:ascii="Garamond" w:eastAsia="Times New Roman" w:hAnsi="Garamond" w:cs="Times New Roman"/>
          <w:b/>
          <w:bCs/>
          <w:iCs/>
          <w:sz w:val="23"/>
          <w:szCs w:val="23"/>
          <w:lang w:eastAsia="it-IT"/>
        </w:rPr>
        <w:t xml:space="preserve"> </w:t>
      </w:r>
      <w:r w:rsidRPr="00E62C85">
        <w:rPr>
          <w:rFonts w:ascii="Garamond" w:eastAsia="Times New Roman" w:hAnsi="Garamond" w:cs="Times New Roman"/>
          <w:bCs/>
          <w:iCs/>
          <w:sz w:val="23"/>
          <w:szCs w:val="23"/>
          <w:lang w:eastAsia="it-IT"/>
        </w:rPr>
        <w:t>come</w:t>
      </w:r>
      <w:r w:rsidRPr="00E62C85">
        <w:rPr>
          <w:rFonts w:ascii="Garamond" w:eastAsia="Times New Roman" w:hAnsi="Garamond" w:cs="Times New Roman"/>
          <w:b/>
          <w:bCs/>
          <w:iCs/>
          <w:sz w:val="23"/>
          <w:szCs w:val="23"/>
          <w:lang w:eastAsia="it-IT"/>
        </w:rPr>
        <w:t xml:space="preserve"> FOIA - </w:t>
      </w:r>
      <w:proofErr w:type="spellStart"/>
      <w:r w:rsidRPr="00E62C85">
        <w:rPr>
          <w:rFonts w:ascii="Garamond" w:eastAsia="Times New Roman" w:hAnsi="Garamond" w:cs="Times New Roman"/>
          <w:bCs/>
          <w:iCs/>
          <w:sz w:val="23"/>
          <w:szCs w:val="23"/>
          <w:lang w:eastAsia="it-IT"/>
        </w:rPr>
        <w:t>Freedom</w:t>
      </w:r>
      <w:proofErr w:type="spellEnd"/>
      <w:r w:rsidRPr="00E62C85">
        <w:rPr>
          <w:rFonts w:ascii="Garamond" w:eastAsia="Times New Roman" w:hAnsi="Garamond" w:cs="Times New Roman"/>
          <w:bCs/>
          <w:iCs/>
          <w:sz w:val="23"/>
          <w:szCs w:val="23"/>
          <w:lang w:eastAsia="it-IT"/>
        </w:rPr>
        <w:t xml:space="preserve"> of Information </w:t>
      </w:r>
      <w:proofErr w:type="spellStart"/>
      <w:r w:rsidRPr="00E62C85">
        <w:rPr>
          <w:rFonts w:ascii="Garamond" w:eastAsia="Times New Roman" w:hAnsi="Garamond" w:cs="Times New Roman"/>
          <w:bCs/>
          <w:iCs/>
          <w:sz w:val="23"/>
          <w:szCs w:val="23"/>
          <w:lang w:eastAsia="it-IT"/>
        </w:rPr>
        <w:t>Act</w:t>
      </w:r>
      <w:proofErr w:type="spellEnd"/>
      <w:r w:rsidRPr="00E62C85">
        <w:rPr>
          <w:rFonts w:ascii="Garamond" w:eastAsia="Times New Roman" w:hAnsi="Garamond" w:cs="Times New Roman"/>
          <w:b/>
          <w:bCs/>
          <w:iCs/>
          <w:sz w:val="23"/>
          <w:szCs w:val="23"/>
          <w:lang w:eastAsia="it-IT"/>
        </w:rPr>
        <w:t xml:space="preserve"> </w:t>
      </w:r>
      <w:r w:rsidRPr="00E62C85">
        <w:rPr>
          <w:rFonts w:ascii="Garamond" w:eastAsia="Times New Roman" w:hAnsi="Garamond" w:cs="Times New Roman"/>
          <w:bCs/>
          <w:iCs/>
          <w:sz w:val="23"/>
          <w:szCs w:val="23"/>
          <w:lang w:eastAsia="it-IT"/>
        </w:rPr>
        <w:t>-</w:t>
      </w:r>
      <w:r w:rsidRPr="00E62C85">
        <w:rPr>
          <w:rFonts w:ascii="Garamond" w:eastAsia="Times New Roman" w:hAnsi="Garamond" w:cs="Times New Roman"/>
          <w:b/>
          <w:bCs/>
          <w:iCs/>
          <w:sz w:val="23"/>
          <w:szCs w:val="23"/>
          <w:lang w:eastAsia="it-IT"/>
        </w:rPr>
        <w:t xml:space="preserve"> </w:t>
      </w:r>
      <w:r w:rsidRPr="00E62C85">
        <w:rPr>
          <w:rFonts w:ascii="Garamond" w:eastAsia="Times New Roman" w:hAnsi="Garamond" w:cs="Times New Roman"/>
          <w:bCs/>
          <w:iCs/>
          <w:sz w:val="23"/>
          <w:szCs w:val="23"/>
          <w:lang w:eastAsia="it-IT"/>
        </w:rPr>
        <w:t>in quanto</w:t>
      </w:r>
      <w:r w:rsidRPr="00E62C85">
        <w:rPr>
          <w:rFonts w:ascii="Garamond" w:eastAsia="Times New Roman" w:hAnsi="Garamond" w:cs="Times New Roman"/>
          <w:b/>
          <w:bCs/>
          <w:iCs/>
          <w:sz w:val="23"/>
          <w:szCs w:val="23"/>
          <w:lang w:eastAsia="it-IT"/>
        </w:rPr>
        <w:t xml:space="preserve"> </w:t>
      </w:r>
      <w:r w:rsidRPr="00E62C85">
        <w:rPr>
          <w:rFonts w:ascii="Garamond" w:eastAsia="Times New Roman" w:hAnsi="Garamond" w:cs="Times New Roman"/>
          <w:bCs/>
          <w:iCs/>
          <w:sz w:val="23"/>
          <w:szCs w:val="23"/>
          <w:lang w:eastAsia="it-IT"/>
        </w:rPr>
        <w:t>molto diffuso nei paesi anglosassoni)</w:t>
      </w:r>
      <w:r w:rsidRPr="00E62C85">
        <w:rPr>
          <w:rFonts w:ascii="Garamond" w:eastAsia="Times New Roman" w:hAnsi="Garamond" w:cs="Times New Roman"/>
          <w:sz w:val="23"/>
          <w:szCs w:val="23"/>
          <w:lang w:eastAsia="it-IT"/>
        </w:rPr>
        <w:t>.</w:t>
      </w:r>
    </w:p>
    <w:p w14:paraId="7E0F24B7"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Tale diritto </w:t>
      </w:r>
      <w:r w:rsidRPr="00E62C85">
        <w:rPr>
          <w:rFonts w:ascii="Garamond" w:eastAsia="Times New Roman" w:hAnsi="Garamond" w:cs="Times New Roman"/>
          <w:sz w:val="23"/>
          <w:szCs w:val="23"/>
          <w:u w:val="single"/>
          <w:lang w:eastAsia="it-IT"/>
        </w:rPr>
        <w:t xml:space="preserve">garantisce a </w:t>
      </w:r>
      <w:r w:rsidRPr="00E62C85">
        <w:rPr>
          <w:rFonts w:ascii="Garamond" w:eastAsia="Times New Roman" w:hAnsi="Garamond" w:cs="Times New Roman"/>
          <w:bCs/>
          <w:iCs/>
          <w:sz w:val="23"/>
          <w:szCs w:val="23"/>
          <w:u w:val="single"/>
          <w:lang w:eastAsia="it-IT"/>
        </w:rPr>
        <w:t>chiunque</w:t>
      </w:r>
      <w:r w:rsidRPr="00E62C85">
        <w:rPr>
          <w:rFonts w:ascii="Garamond" w:eastAsia="Times New Roman" w:hAnsi="Garamond" w:cs="Times New Roman"/>
          <w:b/>
          <w:bCs/>
          <w:iCs/>
          <w:sz w:val="23"/>
          <w:szCs w:val="23"/>
          <w:u w:val="single"/>
          <w:lang w:eastAsia="it-IT"/>
        </w:rPr>
        <w:t xml:space="preserve"> </w:t>
      </w:r>
      <w:r w:rsidRPr="00E62C85">
        <w:rPr>
          <w:rFonts w:ascii="Garamond" w:eastAsia="Times New Roman" w:hAnsi="Garamond" w:cs="Times New Roman"/>
          <w:sz w:val="23"/>
          <w:szCs w:val="23"/>
          <w:u w:val="single"/>
          <w:lang w:eastAsia="it-IT"/>
        </w:rPr>
        <w:t xml:space="preserve">il diritto di </w:t>
      </w:r>
      <w:r w:rsidRPr="00E62C85">
        <w:rPr>
          <w:rFonts w:ascii="Garamond" w:eastAsia="Times New Roman" w:hAnsi="Garamond" w:cs="Times New Roman"/>
          <w:bCs/>
          <w:sz w:val="23"/>
          <w:szCs w:val="23"/>
          <w:u w:val="single"/>
          <w:lang w:eastAsia="it-IT"/>
        </w:rPr>
        <w:t xml:space="preserve">accedere a dati </w:t>
      </w:r>
      <w:r w:rsidRPr="00E62C85">
        <w:rPr>
          <w:rFonts w:ascii="Garamond" w:eastAsia="Times New Roman" w:hAnsi="Garamond" w:cs="Times New Roman"/>
          <w:sz w:val="23"/>
          <w:szCs w:val="23"/>
          <w:u w:val="single"/>
          <w:lang w:eastAsia="it-IT"/>
        </w:rPr>
        <w:t xml:space="preserve">e </w:t>
      </w:r>
      <w:r w:rsidRPr="00E62C85">
        <w:rPr>
          <w:rFonts w:ascii="Garamond" w:eastAsia="Times New Roman" w:hAnsi="Garamond" w:cs="Times New Roman"/>
          <w:bCs/>
          <w:sz w:val="23"/>
          <w:szCs w:val="23"/>
          <w:u w:val="single"/>
          <w:lang w:eastAsia="it-IT"/>
        </w:rPr>
        <w:t>documenti</w:t>
      </w:r>
      <w:r w:rsidRPr="00E62C85">
        <w:rPr>
          <w:rFonts w:ascii="Garamond" w:eastAsia="Times New Roman" w:hAnsi="Garamond" w:cs="Times New Roman"/>
          <w:sz w:val="23"/>
          <w:szCs w:val="23"/>
          <w:u w:val="single"/>
          <w:lang w:eastAsia="it-IT"/>
        </w:rPr>
        <w:t xml:space="preserve"> </w:t>
      </w:r>
      <w:r w:rsidRPr="00E62C85">
        <w:rPr>
          <w:rFonts w:ascii="Garamond" w:eastAsia="Times New Roman" w:hAnsi="Garamond" w:cs="Times New Roman"/>
          <w:bCs/>
          <w:sz w:val="23"/>
          <w:szCs w:val="23"/>
          <w:u w:val="single"/>
          <w:lang w:eastAsia="it-IT"/>
        </w:rPr>
        <w:t>detenuti dalle pubbliche amministrazioni</w:t>
      </w:r>
      <w:r w:rsidRPr="00E62C85">
        <w:rPr>
          <w:rFonts w:ascii="Garamond" w:eastAsia="Times New Roman" w:hAnsi="Garamond" w:cs="Times New Roman"/>
          <w:bCs/>
          <w:sz w:val="23"/>
          <w:szCs w:val="23"/>
          <w:lang w:eastAsia="it-IT"/>
        </w:rPr>
        <w:t xml:space="preserve"> </w:t>
      </w:r>
      <w:r w:rsidRPr="00E62C85">
        <w:rPr>
          <w:rFonts w:ascii="Garamond" w:eastAsia="Times New Roman" w:hAnsi="Garamond" w:cs="Times New Roman"/>
          <w:sz w:val="23"/>
          <w:szCs w:val="23"/>
          <w:lang w:eastAsia="it-IT"/>
        </w:rPr>
        <w:t xml:space="preserve">(e dai soggetti indicati all’art. 2 </w:t>
      </w:r>
      <w:r w:rsidRPr="00E62C85">
        <w:rPr>
          <w:rFonts w:ascii="Garamond" w:eastAsia="Times New Roman" w:hAnsi="Garamond" w:cs="Times New Roman"/>
          <w:iCs/>
          <w:sz w:val="23"/>
          <w:szCs w:val="23"/>
          <w:lang w:eastAsia="it-IT"/>
        </w:rPr>
        <w:t>bis</w:t>
      </w:r>
      <w:r w:rsidRPr="00E62C85">
        <w:rPr>
          <w:rFonts w:ascii="Garamond" w:eastAsia="Times New Roman" w:hAnsi="Garamond" w:cs="Times New Roman"/>
          <w:sz w:val="23"/>
          <w:szCs w:val="23"/>
          <w:lang w:eastAsia="it-IT"/>
        </w:rPr>
        <w:t xml:space="preserve"> del decreto 33/2013 emendato) </w:t>
      </w:r>
      <w:r w:rsidRPr="00E62C85">
        <w:rPr>
          <w:rFonts w:ascii="Garamond" w:eastAsia="Times New Roman" w:hAnsi="Garamond" w:cs="Times New Roman"/>
          <w:sz w:val="23"/>
          <w:szCs w:val="23"/>
          <w:u w:val="single"/>
          <w:lang w:eastAsia="it-IT"/>
        </w:rPr>
        <w:t>non soggetti agli obblighi di pubblicazione</w:t>
      </w:r>
      <w:r w:rsidRPr="00E62C85">
        <w:rPr>
          <w:rFonts w:ascii="Garamond" w:eastAsia="Times New Roman" w:hAnsi="Garamond" w:cs="Times New Roman"/>
          <w:sz w:val="23"/>
          <w:szCs w:val="23"/>
          <w:lang w:eastAsia="it-IT"/>
        </w:rPr>
        <w:t xml:space="preserve">, nel </w:t>
      </w:r>
      <w:r w:rsidRPr="00E62C85">
        <w:rPr>
          <w:rFonts w:ascii="Garamond" w:eastAsia="Times New Roman" w:hAnsi="Garamond" w:cs="Times New Roman"/>
          <w:bCs/>
          <w:sz w:val="23"/>
          <w:szCs w:val="23"/>
          <w:lang w:eastAsia="it-IT"/>
        </w:rPr>
        <w:t>rispetto dei limiti</w:t>
      </w:r>
      <w:r w:rsidRPr="00E62C85">
        <w:rPr>
          <w:rFonts w:ascii="Garamond" w:eastAsia="Times New Roman" w:hAnsi="Garamond" w:cs="Times New Roman"/>
          <w:sz w:val="23"/>
          <w:szCs w:val="23"/>
          <w:lang w:eastAsia="it-IT"/>
        </w:rPr>
        <w:t xml:space="preserve"> relativi alla </w:t>
      </w:r>
      <w:r w:rsidRPr="00E62C85">
        <w:rPr>
          <w:rFonts w:ascii="Garamond" w:eastAsia="Times New Roman" w:hAnsi="Garamond" w:cs="Times New Roman"/>
          <w:bCs/>
          <w:sz w:val="23"/>
          <w:szCs w:val="23"/>
          <w:lang w:eastAsia="it-IT"/>
        </w:rPr>
        <w:t xml:space="preserve">tutela di interessi giuridicamente rilevanti </w:t>
      </w:r>
      <w:r w:rsidRPr="00E62C85">
        <w:rPr>
          <w:rFonts w:ascii="Garamond" w:eastAsia="Times New Roman" w:hAnsi="Garamond" w:cs="Times New Roman"/>
          <w:sz w:val="23"/>
          <w:szCs w:val="23"/>
          <w:lang w:eastAsia="it-IT"/>
        </w:rPr>
        <w:t xml:space="preserve">indicati nell’art. 5 </w:t>
      </w:r>
      <w:r w:rsidRPr="00E62C85">
        <w:rPr>
          <w:rFonts w:ascii="Garamond" w:eastAsia="Times New Roman" w:hAnsi="Garamond" w:cs="Times New Roman"/>
          <w:iCs/>
          <w:sz w:val="23"/>
          <w:szCs w:val="23"/>
          <w:lang w:eastAsia="it-IT"/>
        </w:rPr>
        <w:t>bis</w:t>
      </w:r>
      <w:r w:rsidRPr="00E62C85">
        <w:rPr>
          <w:rFonts w:ascii="Garamond" w:eastAsia="Times New Roman" w:hAnsi="Garamond" w:cs="Times New Roman"/>
          <w:sz w:val="23"/>
          <w:szCs w:val="23"/>
          <w:lang w:eastAsia="it-IT"/>
        </w:rPr>
        <w:t xml:space="preserve"> di nuova istituzione.</w:t>
      </w:r>
    </w:p>
    <w:p w14:paraId="260080E9" w14:textId="77777777" w:rsidR="00E62C85" w:rsidRPr="00E62C85" w:rsidRDefault="00E62C85" w:rsidP="00E62C85">
      <w:pPr>
        <w:spacing w:after="0" w:line="276" w:lineRule="auto"/>
        <w:jc w:val="both"/>
        <w:rPr>
          <w:rFonts w:ascii="Garamond" w:eastAsia="Times New Roman" w:hAnsi="Garamond" w:cs="Times New Roman"/>
          <w:i/>
          <w:sz w:val="23"/>
          <w:szCs w:val="23"/>
          <w:lang w:eastAsia="it-IT"/>
        </w:rPr>
      </w:pPr>
      <w:r w:rsidRPr="00E62C85">
        <w:rPr>
          <w:rFonts w:ascii="Garamond" w:eastAsia="Times New Roman" w:hAnsi="Garamond" w:cs="Times New Roman"/>
          <w:sz w:val="23"/>
          <w:szCs w:val="23"/>
          <w:lang w:eastAsia="it-IT"/>
        </w:rPr>
        <w:t>Per l’esercizio del nuovo istituto, l’ANAC ha adottato la Determinazione n. 1309 del 28.12.2016 recante “</w:t>
      </w:r>
      <w:r w:rsidRPr="00E62C85">
        <w:rPr>
          <w:rFonts w:ascii="Garamond" w:eastAsia="Times New Roman" w:hAnsi="Garamond" w:cs="Times New Roman"/>
          <w:sz w:val="23"/>
          <w:szCs w:val="23"/>
          <w:u w:val="single"/>
          <w:lang w:eastAsia="it-IT"/>
        </w:rPr>
        <w:t>Linee guida recanti indicazioni operative ai fini della definizione delle esclusioni e dei limiti all’accesso civico</w:t>
      </w:r>
      <w:r w:rsidRPr="00E62C85">
        <w:rPr>
          <w:rFonts w:ascii="Garamond" w:eastAsia="Times New Roman" w:hAnsi="Garamond" w:cs="Times New Roman"/>
          <w:i/>
          <w:sz w:val="23"/>
          <w:szCs w:val="23"/>
          <w:lang w:eastAsia="it-IT"/>
        </w:rPr>
        <w:t xml:space="preserve">” </w:t>
      </w:r>
      <w:r w:rsidRPr="00E62C85">
        <w:rPr>
          <w:rFonts w:ascii="Garamond" w:eastAsia="Times New Roman" w:hAnsi="Garamond" w:cs="Times New Roman"/>
          <w:sz w:val="23"/>
          <w:szCs w:val="23"/>
          <w:lang w:eastAsia="it-IT"/>
        </w:rPr>
        <w:t>nelle quali l’Autorità precisa e ricorda che</w:t>
      </w:r>
      <w:r w:rsidRPr="00E62C85">
        <w:rPr>
          <w:rFonts w:ascii="Garamond" w:eastAsia="Times New Roman" w:hAnsi="Garamond" w:cs="Times New Roman"/>
          <w:i/>
          <w:sz w:val="23"/>
          <w:szCs w:val="23"/>
          <w:lang w:eastAsia="it-IT"/>
        </w:rPr>
        <w:t xml:space="preserve"> l’accesso generalizzato deve essere tenuto distinto dalla disciplina dell’accesso ai documenti amministrativi di cui agli articoli 22 e seguenti della legge 7 agosto 1990, n. 241. </w:t>
      </w:r>
    </w:p>
    <w:p w14:paraId="7C5E2B01"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La finalità dell’accesso documentale ex L. n. 241/90 è, in effetti, ben differente da quella sottesa all’accesso civico generalizzato essendo quella di consentire ai soggetti interessati di esercitare al meglio le facoltà partecipative e/o oppositive e difensive che l'ordinamento attribuisce loro, a tutela delle posizioni giuridiche qualificate di cui sono titolari e che devono essere, peraltro, adeguatamente dimostrate e corrispondenti ad una situazione giuridicamente tutelata e collegata al documento al quale è chiesto l'accesso. </w:t>
      </w:r>
    </w:p>
    <w:p w14:paraId="43A4C6B1"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Inoltre, mentre la legge 241/90 esclude tassativamente l’utilizzo del diritto di accesso documentale al fine di sottoporre l’amministrazione ad un controllo generalizzato, l’accesso civico è istituito proprio “allo scopo di favorire forme diffuse di controllo sul perseguimento delle funzioni istituzionali e sull’utilizzo delle risorse </w:t>
      </w:r>
      <w:r w:rsidRPr="00E62C85">
        <w:rPr>
          <w:rFonts w:ascii="Garamond" w:eastAsia="Times New Roman" w:hAnsi="Garamond" w:cs="Times New Roman"/>
          <w:sz w:val="23"/>
          <w:szCs w:val="23"/>
          <w:lang w:eastAsia="it-IT"/>
        </w:rPr>
        <w:lastRenderedPageBreak/>
        <w:t xml:space="preserve">pubbliche e di promuovere la partecipazione al dibattito pubblico”. Tale finalità ricalca, almeno in parte, quella indicata dall’art. 1, co. 1 del </w:t>
      </w:r>
      <w:proofErr w:type="spellStart"/>
      <w:proofErr w:type="gramStart"/>
      <w:r w:rsidRPr="00E62C85">
        <w:rPr>
          <w:rFonts w:ascii="Garamond" w:eastAsia="Times New Roman" w:hAnsi="Garamond" w:cs="Times New Roman"/>
          <w:sz w:val="23"/>
          <w:szCs w:val="23"/>
          <w:lang w:eastAsia="it-IT"/>
        </w:rPr>
        <w:t>D.Lgs</w:t>
      </w:r>
      <w:proofErr w:type="gramEnd"/>
      <w:r w:rsidRPr="00E62C85">
        <w:rPr>
          <w:rFonts w:ascii="Garamond" w:eastAsia="Times New Roman" w:hAnsi="Garamond" w:cs="Times New Roman"/>
          <w:sz w:val="23"/>
          <w:szCs w:val="23"/>
          <w:lang w:eastAsia="it-IT"/>
        </w:rPr>
        <w:t>.</w:t>
      </w:r>
      <w:proofErr w:type="spellEnd"/>
      <w:r w:rsidRPr="00E62C85">
        <w:rPr>
          <w:rFonts w:ascii="Garamond" w:eastAsia="Times New Roman" w:hAnsi="Garamond" w:cs="Times New Roman"/>
          <w:sz w:val="23"/>
          <w:szCs w:val="23"/>
          <w:lang w:eastAsia="it-IT"/>
        </w:rPr>
        <w:t xml:space="preserve"> 33/2013, intesa come «</w:t>
      </w:r>
      <w:r w:rsidRPr="00E62C85">
        <w:rPr>
          <w:rFonts w:ascii="Garamond" w:eastAsia="Times New Roman" w:hAnsi="Garamond" w:cs="Times New Roman"/>
          <w:i/>
          <w:iCs/>
          <w:sz w:val="23"/>
          <w:szCs w:val="23"/>
          <w:lang w:eastAsia="it-IT"/>
        </w:rPr>
        <w:t>accessibilità totale dei dati e documenti detenuti dalle pubbliche amministrazioni, allo scopo di tutelare i diritti dei cittadini, promuovere la partecipazione degli interessati all’attività amministrativa e favorire forme diffuse di controllo sul perseguimento delle funzioni istituzionali e sull’utilizzo delle risorse pubbliche</w:t>
      </w:r>
      <w:r w:rsidRPr="00E62C85">
        <w:rPr>
          <w:rFonts w:ascii="Garamond" w:eastAsia="Times New Roman" w:hAnsi="Garamond" w:cs="Times New Roman"/>
          <w:sz w:val="23"/>
          <w:szCs w:val="23"/>
          <w:lang w:eastAsia="it-IT"/>
        </w:rPr>
        <w:t xml:space="preserve">». </w:t>
      </w:r>
    </w:p>
    <w:p w14:paraId="23673B8F"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Altra differenza fra i due istituti, è sicuramente costituita dal significato che assume l’inerzia dell’Amministrazione. Nell’accesso documentale, infatti, il silenzio ha valore di rigetto, nell’accesso civico di inadempienza.</w:t>
      </w:r>
    </w:p>
    <w:p w14:paraId="4A64ACD3"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L’art. 5 richiede, infatti, un provvedimento espresso e motivato per la conclusione del procedimento, da emanarsi entro 30 giorni dall’istanza. L’accesso civico può essere rifiutato solo nei casi previsti dall’art. 5-bis del medesimo decreto 33.</w:t>
      </w:r>
    </w:p>
    <w:p w14:paraId="1346E642"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p>
    <w:tbl>
      <w:tblPr>
        <w:tblStyle w:val="Stile112"/>
        <w:tblW w:w="0" w:type="auto"/>
        <w:tblLook w:val="04A0" w:firstRow="1" w:lastRow="0" w:firstColumn="1" w:lastColumn="0" w:noHBand="0" w:noVBand="1"/>
      </w:tblPr>
      <w:tblGrid>
        <w:gridCol w:w="9628"/>
      </w:tblGrid>
      <w:tr w:rsidR="00E62C85" w:rsidRPr="00E62C85" w14:paraId="43851D59" w14:textId="77777777" w:rsidTr="00033905">
        <w:trPr>
          <w:trHeight w:val="1417"/>
        </w:trPr>
        <w:tc>
          <w:tcPr>
            <w:tcW w:w="9778" w:type="dxa"/>
            <w:shd w:val="clear" w:color="auto" w:fill="auto"/>
          </w:tcPr>
          <w:p w14:paraId="21FC3005" w14:textId="77777777" w:rsidR="00E62C85" w:rsidRPr="00E62C85" w:rsidRDefault="00E62C85" w:rsidP="00033905">
            <w:pPr>
              <w:spacing w:line="276" w:lineRule="auto"/>
              <w:jc w:val="center"/>
              <w:rPr>
                <w:rFonts w:ascii="Garamond" w:hAnsi="Garamond" w:cs="Times New Roman"/>
                <w:sz w:val="23"/>
                <w:szCs w:val="23"/>
                <w:lang w:eastAsia="it-IT"/>
              </w:rPr>
            </w:pPr>
            <w:r w:rsidRPr="00E62C85">
              <w:rPr>
                <w:rFonts w:ascii="Garamond" w:hAnsi="Garamond" w:cs="Times New Roman"/>
                <w:sz w:val="23"/>
                <w:szCs w:val="23"/>
                <w:lang w:eastAsia="it-IT"/>
              </w:rPr>
              <w:t>Principali disposizioni utili per la corretta gestione delle istanze di accesso civico</w:t>
            </w:r>
          </w:p>
          <w:p w14:paraId="62CAF293" w14:textId="77777777" w:rsidR="00E62C85" w:rsidRPr="00E62C85" w:rsidRDefault="00E62C85" w:rsidP="00E62C85">
            <w:pPr>
              <w:numPr>
                <w:ilvl w:val="0"/>
                <w:numId w:val="21"/>
              </w:numPr>
              <w:spacing w:line="276" w:lineRule="auto"/>
              <w:ind w:left="284"/>
              <w:rPr>
                <w:rFonts w:ascii="Garamond" w:hAnsi="Garamond" w:cs="Times New Roman"/>
                <w:sz w:val="23"/>
                <w:szCs w:val="23"/>
                <w:lang w:eastAsia="it-IT"/>
              </w:rPr>
            </w:pPr>
            <w:r w:rsidRPr="00E62C85">
              <w:rPr>
                <w:rFonts w:ascii="Garamond" w:hAnsi="Garamond" w:cs="Times New Roman"/>
                <w:sz w:val="23"/>
                <w:szCs w:val="23"/>
                <w:lang w:eastAsia="it-IT"/>
              </w:rPr>
              <w:t xml:space="preserve">art. 5 del </w:t>
            </w:r>
            <w:proofErr w:type="spellStart"/>
            <w:proofErr w:type="gramStart"/>
            <w:r w:rsidRPr="00E62C85">
              <w:rPr>
                <w:rFonts w:ascii="Garamond" w:hAnsi="Garamond" w:cs="Times New Roman"/>
                <w:sz w:val="23"/>
                <w:szCs w:val="23"/>
                <w:lang w:eastAsia="it-IT"/>
              </w:rPr>
              <w:t>D.Lgs</w:t>
            </w:r>
            <w:proofErr w:type="gramEnd"/>
            <w:r w:rsidRPr="00E62C85">
              <w:rPr>
                <w:rFonts w:ascii="Garamond" w:hAnsi="Garamond" w:cs="Times New Roman"/>
                <w:sz w:val="23"/>
                <w:szCs w:val="23"/>
                <w:lang w:eastAsia="it-IT"/>
              </w:rPr>
              <w:t>.</w:t>
            </w:r>
            <w:proofErr w:type="spellEnd"/>
            <w:r w:rsidRPr="00E62C85">
              <w:rPr>
                <w:rFonts w:ascii="Garamond" w:hAnsi="Garamond" w:cs="Times New Roman"/>
                <w:sz w:val="23"/>
                <w:szCs w:val="23"/>
                <w:lang w:eastAsia="it-IT"/>
              </w:rPr>
              <w:t xml:space="preserve"> 33/2013:</w:t>
            </w:r>
          </w:p>
          <w:p w14:paraId="1EC8EB8A" w14:textId="77777777" w:rsidR="00E62C85" w:rsidRPr="00E62C85" w:rsidRDefault="00E62C85" w:rsidP="00E62C85">
            <w:pPr>
              <w:numPr>
                <w:ilvl w:val="0"/>
                <w:numId w:val="22"/>
              </w:numPr>
              <w:spacing w:line="276" w:lineRule="auto"/>
              <w:rPr>
                <w:rFonts w:ascii="Garamond" w:hAnsi="Garamond" w:cs="Times New Roman"/>
                <w:sz w:val="23"/>
                <w:szCs w:val="23"/>
                <w:lang w:eastAsia="it-IT"/>
              </w:rPr>
            </w:pPr>
            <w:r w:rsidRPr="00E62C85">
              <w:rPr>
                <w:rFonts w:ascii="Garamond" w:hAnsi="Garamond" w:cs="Times New Roman"/>
                <w:sz w:val="23"/>
                <w:szCs w:val="23"/>
                <w:lang w:eastAsia="it-IT"/>
              </w:rPr>
              <w:t xml:space="preserve">il comma 6, dispone che il procedimento di accesso civico deve concludersi </w:t>
            </w:r>
            <w:r w:rsidRPr="00E62C85">
              <w:rPr>
                <w:rFonts w:ascii="Garamond" w:hAnsi="Garamond" w:cs="Times New Roman"/>
                <w:i/>
                <w:sz w:val="23"/>
                <w:szCs w:val="23"/>
                <w:lang w:eastAsia="it-IT"/>
              </w:rPr>
              <w:t>con provvedimento espresso e motivato nel termine di 30 giorni dalla presentazione dell’istanza;</w:t>
            </w:r>
          </w:p>
          <w:p w14:paraId="1D00C375" w14:textId="77777777" w:rsidR="00E62C85" w:rsidRPr="00E62C85" w:rsidRDefault="00E62C85" w:rsidP="00E62C85">
            <w:pPr>
              <w:numPr>
                <w:ilvl w:val="0"/>
                <w:numId w:val="22"/>
              </w:numPr>
              <w:spacing w:line="276" w:lineRule="auto"/>
              <w:rPr>
                <w:rFonts w:ascii="Garamond" w:hAnsi="Garamond" w:cs="Times New Roman"/>
                <w:sz w:val="23"/>
                <w:szCs w:val="23"/>
                <w:lang w:eastAsia="it-IT"/>
              </w:rPr>
            </w:pPr>
            <w:r w:rsidRPr="00E62C85">
              <w:rPr>
                <w:rFonts w:ascii="Garamond" w:hAnsi="Garamond" w:cs="Times New Roman"/>
                <w:sz w:val="23"/>
                <w:szCs w:val="23"/>
                <w:lang w:eastAsia="it-IT"/>
              </w:rPr>
              <w:t>Il comma 7, dispone che nei</w:t>
            </w:r>
            <w:r w:rsidRPr="00E62C85">
              <w:rPr>
                <w:rFonts w:ascii="Garamond" w:hAnsi="Garamond" w:cs="Times New Roman"/>
                <w:i/>
                <w:sz w:val="23"/>
                <w:szCs w:val="23"/>
                <w:lang w:eastAsia="it-IT"/>
              </w:rPr>
              <w:t xml:space="preserve"> </w:t>
            </w:r>
            <w:r w:rsidRPr="00E62C85">
              <w:rPr>
                <w:rFonts w:ascii="Garamond" w:hAnsi="Garamond" w:cs="Times New Roman"/>
                <w:sz w:val="23"/>
                <w:szCs w:val="23"/>
                <w:lang w:eastAsia="it-IT"/>
              </w:rPr>
              <w:t>casi di diniego totale o parziale dell'accesso o di mancata risposta entro il termine indicato al comma 6, il richiedente può presentare richiesta di riesame al RPCT che decide con provvedimento motivato, entro il termine di venti giorni;</w:t>
            </w:r>
          </w:p>
          <w:p w14:paraId="41572D6E" w14:textId="77777777" w:rsidR="00E62C85" w:rsidRPr="00E62C85" w:rsidRDefault="00E62C85" w:rsidP="00E62C85">
            <w:pPr>
              <w:numPr>
                <w:ilvl w:val="0"/>
                <w:numId w:val="22"/>
              </w:numPr>
              <w:spacing w:line="276" w:lineRule="auto"/>
              <w:rPr>
                <w:rFonts w:ascii="Garamond" w:hAnsi="Garamond" w:cs="Times New Roman"/>
                <w:i/>
                <w:sz w:val="23"/>
                <w:szCs w:val="23"/>
                <w:lang w:eastAsia="it-IT"/>
              </w:rPr>
            </w:pPr>
            <w:r w:rsidRPr="00E62C85">
              <w:rPr>
                <w:rFonts w:ascii="Garamond" w:hAnsi="Garamond" w:cs="Times New Roman"/>
                <w:sz w:val="23"/>
                <w:szCs w:val="23"/>
                <w:lang w:eastAsia="it-IT"/>
              </w:rPr>
              <w:t>Il comma 10 dispone che nel</w:t>
            </w:r>
            <w:r w:rsidRPr="00E62C85">
              <w:rPr>
                <w:rFonts w:ascii="Garamond" w:hAnsi="Garamond" w:cs="Times New Roman"/>
                <w:i/>
                <w:sz w:val="23"/>
                <w:szCs w:val="23"/>
                <w:lang w:eastAsia="it-IT"/>
              </w:rPr>
              <w:t xml:space="preserve"> </w:t>
            </w:r>
            <w:r w:rsidRPr="00E62C85">
              <w:rPr>
                <w:rFonts w:ascii="Garamond" w:hAnsi="Garamond" w:cs="Times New Roman"/>
                <w:sz w:val="23"/>
                <w:szCs w:val="23"/>
                <w:lang w:eastAsia="it-IT"/>
              </w:rPr>
              <w:t>caso in cui la richiesta di accesso civico riguardi dati, informazioni o documenti oggetto di pubblicazione obbligatoria, (accesso civico semplice) il RPCT ha l'obbligo di effettuare la segnalazione di cui all'articolo 43, comma 5 (attivazione procedimento disciplinare)</w:t>
            </w:r>
          </w:p>
          <w:p w14:paraId="4876AB34" w14:textId="77777777" w:rsidR="00E62C85" w:rsidRPr="00E62C85" w:rsidRDefault="00E62C85" w:rsidP="00E62C85">
            <w:pPr>
              <w:numPr>
                <w:ilvl w:val="0"/>
                <w:numId w:val="21"/>
              </w:numPr>
              <w:spacing w:line="276" w:lineRule="auto"/>
              <w:ind w:left="284"/>
              <w:rPr>
                <w:rFonts w:ascii="Garamond" w:hAnsi="Garamond" w:cs="Times New Roman"/>
                <w:sz w:val="23"/>
                <w:szCs w:val="23"/>
                <w:lang w:eastAsia="it-IT"/>
              </w:rPr>
            </w:pPr>
            <w:r w:rsidRPr="00E62C85">
              <w:rPr>
                <w:rFonts w:ascii="Garamond" w:hAnsi="Garamond" w:cs="Times New Roman"/>
                <w:sz w:val="23"/>
                <w:szCs w:val="23"/>
                <w:lang w:eastAsia="it-IT"/>
              </w:rPr>
              <w:t xml:space="preserve">art. 5-bis del </w:t>
            </w:r>
            <w:proofErr w:type="spellStart"/>
            <w:proofErr w:type="gramStart"/>
            <w:r w:rsidRPr="00E62C85">
              <w:rPr>
                <w:rFonts w:ascii="Garamond" w:hAnsi="Garamond" w:cs="Times New Roman"/>
                <w:sz w:val="23"/>
                <w:szCs w:val="23"/>
                <w:lang w:eastAsia="it-IT"/>
              </w:rPr>
              <w:t>D.Lgs</w:t>
            </w:r>
            <w:proofErr w:type="gramEnd"/>
            <w:r w:rsidRPr="00E62C85">
              <w:rPr>
                <w:rFonts w:ascii="Garamond" w:hAnsi="Garamond" w:cs="Times New Roman"/>
                <w:sz w:val="23"/>
                <w:szCs w:val="23"/>
                <w:lang w:eastAsia="it-IT"/>
              </w:rPr>
              <w:t>.</w:t>
            </w:r>
            <w:proofErr w:type="spellEnd"/>
            <w:r w:rsidRPr="00E62C85">
              <w:rPr>
                <w:rFonts w:ascii="Garamond" w:hAnsi="Garamond" w:cs="Times New Roman"/>
                <w:sz w:val="23"/>
                <w:szCs w:val="23"/>
                <w:lang w:eastAsia="it-IT"/>
              </w:rPr>
              <w:t xml:space="preserve"> 33/2013 definisce i casi di esclusione e i limiti dell’accesso civico generalizzato</w:t>
            </w:r>
          </w:p>
          <w:p w14:paraId="0B92C65B" w14:textId="77777777" w:rsidR="00E62C85" w:rsidRPr="00E62C85" w:rsidRDefault="00E62C85" w:rsidP="00E62C85">
            <w:pPr>
              <w:numPr>
                <w:ilvl w:val="0"/>
                <w:numId w:val="21"/>
              </w:numPr>
              <w:spacing w:line="276" w:lineRule="auto"/>
              <w:ind w:left="284"/>
              <w:rPr>
                <w:rFonts w:ascii="Garamond" w:hAnsi="Garamond" w:cs="Times New Roman"/>
                <w:sz w:val="23"/>
                <w:szCs w:val="23"/>
                <w:lang w:eastAsia="it-IT"/>
              </w:rPr>
            </w:pPr>
            <w:r w:rsidRPr="00E62C85">
              <w:rPr>
                <w:rFonts w:ascii="Garamond" w:hAnsi="Garamond" w:cs="Times New Roman"/>
                <w:sz w:val="23"/>
                <w:szCs w:val="23"/>
                <w:lang w:eastAsia="it-IT"/>
              </w:rPr>
              <w:t>Deliberazione ANAC n. 1309 del 2016 di approvazione delle Linee guida recanti indicazioni operative ai fini della definizione delle esclusioni e dei limiti all'accesso civico generalizzato</w:t>
            </w:r>
          </w:p>
          <w:p w14:paraId="18D04A15" w14:textId="77777777" w:rsidR="00E62C85" w:rsidRPr="00E62C85" w:rsidRDefault="00E62C85" w:rsidP="00E62C85">
            <w:pPr>
              <w:numPr>
                <w:ilvl w:val="0"/>
                <w:numId w:val="21"/>
              </w:numPr>
              <w:spacing w:line="276" w:lineRule="auto"/>
              <w:ind w:left="284"/>
              <w:rPr>
                <w:rFonts w:ascii="Garamond" w:hAnsi="Garamond" w:cs="Times New Roman"/>
                <w:sz w:val="23"/>
                <w:szCs w:val="23"/>
                <w:lang w:eastAsia="it-IT"/>
              </w:rPr>
            </w:pPr>
            <w:r w:rsidRPr="00E62C85">
              <w:rPr>
                <w:rFonts w:ascii="Garamond" w:hAnsi="Garamond" w:cs="Times New Roman"/>
                <w:sz w:val="23"/>
                <w:szCs w:val="23"/>
                <w:lang w:eastAsia="it-IT"/>
              </w:rPr>
              <w:t>Circolare n.1 del 2019 del Ministro per la Pubblica Amministrazione “</w:t>
            </w:r>
            <w:r w:rsidRPr="00E62C85">
              <w:rPr>
                <w:rFonts w:ascii="Garamond" w:hAnsi="Garamond" w:cs="Times New Roman"/>
                <w:i/>
                <w:sz w:val="23"/>
                <w:szCs w:val="23"/>
                <w:lang w:eastAsia="it-IT"/>
              </w:rPr>
              <w:t>Attuazione delle norme sull’accesso civico generalizzato (c.d. FOIA)”</w:t>
            </w:r>
          </w:p>
          <w:p w14:paraId="09B6C3E0" w14:textId="77777777" w:rsidR="00E62C85" w:rsidRPr="00E62C85" w:rsidRDefault="00E62C85" w:rsidP="00E62C85">
            <w:pPr>
              <w:numPr>
                <w:ilvl w:val="0"/>
                <w:numId w:val="21"/>
              </w:numPr>
              <w:spacing w:line="276" w:lineRule="auto"/>
              <w:ind w:left="284"/>
              <w:rPr>
                <w:rFonts w:ascii="Garamond" w:hAnsi="Garamond" w:cs="Times New Roman"/>
                <w:sz w:val="23"/>
                <w:szCs w:val="23"/>
                <w:lang w:eastAsia="it-IT"/>
              </w:rPr>
            </w:pPr>
            <w:r w:rsidRPr="00E62C85">
              <w:rPr>
                <w:rFonts w:ascii="Garamond" w:hAnsi="Garamond" w:cs="Times New Roman"/>
                <w:sz w:val="23"/>
                <w:szCs w:val="23"/>
                <w:lang w:eastAsia="it-IT"/>
              </w:rPr>
              <w:t>Circolare n.2 del 2017 del Ministro per la Pubblica Amministrazione “</w:t>
            </w:r>
            <w:r w:rsidRPr="00E62C85">
              <w:rPr>
                <w:rFonts w:ascii="Garamond" w:hAnsi="Garamond" w:cs="Times New Roman"/>
                <w:i/>
                <w:sz w:val="23"/>
                <w:szCs w:val="23"/>
                <w:lang w:eastAsia="it-IT"/>
              </w:rPr>
              <w:t>Attuazione delle norme sull’accesso civico generalizzato (c.d. FOIA)”.</w:t>
            </w:r>
          </w:p>
        </w:tc>
      </w:tr>
    </w:tbl>
    <w:p w14:paraId="64C3C947" w14:textId="77777777" w:rsidR="00E62C85" w:rsidRPr="00E62C85" w:rsidRDefault="00E62C85" w:rsidP="00E62C85">
      <w:pPr>
        <w:keepNext/>
        <w:keepLines/>
        <w:spacing w:after="0" w:line="276" w:lineRule="auto"/>
        <w:outlineLvl w:val="1"/>
        <w:rPr>
          <w:rFonts w:ascii="Garamond" w:eastAsia="Calibri" w:hAnsi="Garamond" w:cs="Times New Roman"/>
          <w:bCs/>
          <w:i/>
          <w:iCs/>
          <w:sz w:val="23"/>
          <w:szCs w:val="23"/>
          <w:lang w:eastAsia="it-IT"/>
        </w:rPr>
      </w:pPr>
      <w:bookmarkStart w:id="78" w:name="_Toc536623414"/>
      <w:bookmarkStart w:id="79" w:name="_Toc43329239"/>
      <w:bookmarkStart w:id="80" w:name="_Toc44404299"/>
    </w:p>
    <w:p w14:paraId="460DA2DA" w14:textId="77777777" w:rsidR="00E62C85" w:rsidRPr="00E62C85" w:rsidRDefault="00E62C85" w:rsidP="00E62C85">
      <w:pPr>
        <w:spacing w:after="0" w:line="276" w:lineRule="auto"/>
        <w:ind w:right="-1"/>
        <w:jc w:val="both"/>
        <w:rPr>
          <w:rFonts w:ascii="Garamond" w:eastAsia="Calibri" w:hAnsi="Garamond" w:cs="Times New Roman"/>
          <w:b/>
          <w:i/>
          <w:smallCaps/>
          <w:sz w:val="23"/>
          <w:szCs w:val="23"/>
        </w:rPr>
      </w:pPr>
      <w:bookmarkStart w:id="81" w:name="_Toc101344206"/>
      <w:r w:rsidRPr="00E62C85">
        <w:rPr>
          <w:rFonts w:ascii="Garamond" w:eastAsia="Calibri" w:hAnsi="Garamond" w:cs="Times New Roman"/>
          <w:b/>
          <w:i/>
          <w:smallCaps/>
          <w:sz w:val="23"/>
          <w:szCs w:val="23"/>
        </w:rPr>
        <w:t>L’attuazione degli obblighi di trasparenza nella Giunta Regionale d’Abruzzo</w:t>
      </w:r>
      <w:bookmarkEnd w:id="78"/>
      <w:bookmarkEnd w:id="79"/>
      <w:bookmarkEnd w:id="80"/>
      <w:bookmarkEnd w:id="81"/>
    </w:p>
    <w:p w14:paraId="142D5AEB"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A norma delle innovazioni introdotte dal </w:t>
      </w:r>
      <w:proofErr w:type="spellStart"/>
      <w:proofErr w:type="gramStart"/>
      <w:r w:rsidRPr="00E62C85">
        <w:rPr>
          <w:rFonts w:ascii="Garamond" w:eastAsia="Times New Roman" w:hAnsi="Garamond" w:cs="Times New Roman"/>
          <w:sz w:val="23"/>
          <w:szCs w:val="23"/>
          <w:lang w:eastAsia="it-IT"/>
        </w:rPr>
        <w:t>D.Lgs</w:t>
      </w:r>
      <w:proofErr w:type="gramEnd"/>
      <w:r w:rsidRPr="00E62C85">
        <w:rPr>
          <w:rFonts w:ascii="Garamond" w:eastAsia="Times New Roman" w:hAnsi="Garamond" w:cs="Times New Roman"/>
          <w:sz w:val="23"/>
          <w:szCs w:val="23"/>
          <w:lang w:eastAsia="it-IT"/>
        </w:rPr>
        <w:t>.</w:t>
      </w:r>
      <w:proofErr w:type="spellEnd"/>
      <w:r w:rsidRPr="00E62C85">
        <w:rPr>
          <w:rFonts w:ascii="Garamond" w:eastAsia="Times New Roman" w:hAnsi="Garamond" w:cs="Times New Roman"/>
          <w:sz w:val="23"/>
          <w:szCs w:val="23"/>
          <w:lang w:eastAsia="it-IT"/>
        </w:rPr>
        <w:t xml:space="preserve"> 97/2016 il Responsabile della Prevenzione della Corruzione, che ogni amministrazione è tenuta a nominare fra i propri dirigenti di ruolo, assume anche le competenze di Responsabile della Trasparenza diventando così Responsabile della Prevenzione della Corruzione e della Trasparenza o, più brevemente, il </w:t>
      </w:r>
      <w:r w:rsidRPr="00E62C85">
        <w:rPr>
          <w:rFonts w:ascii="Garamond" w:eastAsia="Times New Roman" w:hAnsi="Garamond" w:cs="Times New Roman"/>
          <w:bCs/>
          <w:sz w:val="23"/>
          <w:szCs w:val="23"/>
          <w:lang w:eastAsia="it-IT"/>
        </w:rPr>
        <w:t>RPCT di cui all’art.1, co. 7, della L. 190/2012 novellata.</w:t>
      </w:r>
    </w:p>
    <w:p w14:paraId="2B05950E" w14:textId="77777777" w:rsidR="00E62C85" w:rsidRPr="00E62C85" w:rsidRDefault="00E62C85" w:rsidP="00E62C85">
      <w:pPr>
        <w:spacing w:after="0" w:line="276" w:lineRule="auto"/>
        <w:jc w:val="both"/>
        <w:rPr>
          <w:rFonts w:ascii="Garamond" w:eastAsia="Calibri" w:hAnsi="Garamond" w:cs="Times New Roman"/>
          <w:sz w:val="23"/>
          <w:szCs w:val="23"/>
          <w:lang w:eastAsia="it-IT"/>
        </w:rPr>
      </w:pPr>
      <w:proofErr w:type="gramStart"/>
      <w:r w:rsidRPr="00E62C85">
        <w:rPr>
          <w:rFonts w:ascii="Garamond" w:eastAsia="Calibri" w:hAnsi="Garamond" w:cs="Times New Roman"/>
          <w:sz w:val="23"/>
          <w:szCs w:val="23"/>
          <w:lang w:eastAsia="it-IT"/>
        </w:rPr>
        <w:t>Ai fine</w:t>
      </w:r>
      <w:proofErr w:type="gramEnd"/>
      <w:r w:rsidRPr="00E62C85">
        <w:rPr>
          <w:rFonts w:ascii="Garamond" w:eastAsia="Calibri" w:hAnsi="Garamond" w:cs="Times New Roman"/>
          <w:sz w:val="23"/>
          <w:szCs w:val="23"/>
          <w:lang w:eastAsia="it-IT"/>
        </w:rPr>
        <w:t xml:space="preserve"> dell’attuazione degli obblighi di pubblicazione, è presente sul sito istituzionale della Giunta Regionale la sezione</w:t>
      </w:r>
      <w:r w:rsidRPr="00E62C85">
        <w:rPr>
          <w:rFonts w:ascii="Garamond" w:eastAsia="Calibri" w:hAnsi="Garamond" w:cs="Times New Roman"/>
          <w:b/>
          <w:sz w:val="23"/>
          <w:szCs w:val="23"/>
          <w:lang w:eastAsia="it-IT"/>
        </w:rPr>
        <w:t xml:space="preserve"> </w:t>
      </w:r>
      <w:r w:rsidRPr="00E62C85">
        <w:rPr>
          <w:rFonts w:ascii="Garamond" w:eastAsia="Calibri" w:hAnsi="Garamond" w:cs="Times New Roman"/>
          <w:sz w:val="23"/>
          <w:szCs w:val="23"/>
          <w:lang w:eastAsia="it-IT"/>
        </w:rPr>
        <w:t>“</w:t>
      </w:r>
      <w:r w:rsidRPr="00E62C85">
        <w:rPr>
          <w:rFonts w:ascii="Garamond" w:eastAsia="Calibri" w:hAnsi="Garamond" w:cs="Times New Roman"/>
          <w:i/>
          <w:sz w:val="23"/>
          <w:szCs w:val="23"/>
          <w:lang w:eastAsia="it-IT"/>
        </w:rPr>
        <w:t>Amministrazione Trasparente</w:t>
      </w:r>
      <w:r w:rsidRPr="00E62C85">
        <w:rPr>
          <w:rFonts w:ascii="Garamond" w:eastAsia="Calibri" w:hAnsi="Garamond" w:cs="Times New Roman"/>
          <w:sz w:val="23"/>
          <w:szCs w:val="23"/>
          <w:lang w:eastAsia="it-IT"/>
        </w:rPr>
        <w:t>”, strutturata in conformità alle indicazioni fornite nell’</w:t>
      </w:r>
      <w:r w:rsidRPr="00E62C85">
        <w:rPr>
          <w:rFonts w:ascii="Garamond" w:eastAsia="Calibri" w:hAnsi="Garamond" w:cs="Times New Roman"/>
          <w:i/>
          <w:sz w:val="23"/>
          <w:szCs w:val="23"/>
          <w:lang w:eastAsia="it-IT"/>
        </w:rPr>
        <w:t xml:space="preserve">Allegato A </w:t>
      </w:r>
      <w:r w:rsidRPr="00E62C85">
        <w:rPr>
          <w:rFonts w:ascii="Garamond" w:eastAsia="Calibri" w:hAnsi="Garamond" w:cs="Times New Roman"/>
          <w:sz w:val="23"/>
          <w:szCs w:val="23"/>
          <w:lang w:eastAsia="it-IT"/>
        </w:rPr>
        <w:t>al D.lgs. 33/2013.</w:t>
      </w:r>
    </w:p>
    <w:p w14:paraId="10340FF5"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Come anticipato precedentemente, le misure per la trasparenza sono contenute nell’</w:t>
      </w:r>
      <w:r w:rsidRPr="00E62C85">
        <w:rPr>
          <w:rFonts w:ascii="Garamond" w:eastAsia="Times New Roman" w:hAnsi="Garamond" w:cs="Times New Roman"/>
          <w:i/>
          <w:sz w:val="23"/>
          <w:szCs w:val="23"/>
          <w:lang w:eastAsia="it-IT"/>
        </w:rPr>
        <w:t>Allegato C</w:t>
      </w:r>
      <w:r w:rsidRPr="00E62C85">
        <w:rPr>
          <w:rFonts w:ascii="Garamond" w:eastAsia="Times New Roman" w:hAnsi="Garamond" w:cs="Times New Roman"/>
          <w:sz w:val="23"/>
          <w:szCs w:val="23"/>
          <w:lang w:eastAsia="it-IT"/>
        </w:rPr>
        <w:t xml:space="preserve"> recante gli obblighi di Pubblicazione; sono altresì presenti l’</w:t>
      </w:r>
      <w:r w:rsidRPr="00E62C85">
        <w:rPr>
          <w:rFonts w:ascii="Garamond" w:eastAsia="Times New Roman" w:hAnsi="Garamond" w:cs="Times New Roman"/>
          <w:i/>
          <w:sz w:val="23"/>
          <w:szCs w:val="23"/>
          <w:lang w:eastAsia="it-IT"/>
        </w:rPr>
        <w:t>Allegato D</w:t>
      </w:r>
      <w:r w:rsidRPr="00E62C85">
        <w:rPr>
          <w:rFonts w:ascii="Garamond" w:eastAsia="Times New Roman" w:hAnsi="Garamond" w:cs="Times New Roman"/>
          <w:sz w:val="23"/>
          <w:szCs w:val="23"/>
          <w:lang w:eastAsia="it-IT"/>
        </w:rPr>
        <w:t xml:space="preserve"> recante il Registro degli Accessi Civici e l’</w:t>
      </w:r>
      <w:r w:rsidRPr="00E62C85">
        <w:rPr>
          <w:rFonts w:ascii="Garamond" w:eastAsia="Times New Roman" w:hAnsi="Garamond" w:cs="Times New Roman"/>
          <w:i/>
          <w:sz w:val="23"/>
          <w:szCs w:val="23"/>
          <w:lang w:eastAsia="it-IT"/>
        </w:rPr>
        <w:t>Allegato E</w:t>
      </w:r>
      <w:r w:rsidRPr="00E62C85">
        <w:rPr>
          <w:rFonts w:ascii="Garamond" w:eastAsia="Times New Roman" w:hAnsi="Garamond" w:cs="Times New Roman"/>
          <w:sz w:val="23"/>
          <w:szCs w:val="23"/>
          <w:lang w:eastAsia="it-IT"/>
        </w:rPr>
        <w:t xml:space="preserve"> recante il Monitoraggio Tempi procedimentali ai fini della comunicazione al RPCT.</w:t>
      </w:r>
    </w:p>
    <w:p w14:paraId="3854E3A0"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w:t>
      </w:r>
      <w:r w:rsidRPr="00E62C85">
        <w:rPr>
          <w:rFonts w:ascii="Garamond" w:eastAsia="Times New Roman" w:hAnsi="Garamond" w:cs="Times New Roman"/>
          <w:i/>
          <w:sz w:val="23"/>
          <w:szCs w:val="23"/>
          <w:lang w:eastAsia="it-IT"/>
        </w:rPr>
        <w:t>Allegato</w:t>
      </w:r>
      <w:r w:rsidRPr="00E62C85">
        <w:rPr>
          <w:rFonts w:ascii="Garamond" w:eastAsia="Times New Roman" w:hAnsi="Garamond" w:cs="Times New Roman"/>
          <w:sz w:val="23"/>
          <w:szCs w:val="23"/>
          <w:lang w:eastAsia="it-IT"/>
        </w:rPr>
        <w:t xml:space="preserve"> </w:t>
      </w:r>
      <w:r w:rsidRPr="00E62C85">
        <w:rPr>
          <w:rFonts w:ascii="Garamond" w:eastAsia="Times New Roman" w:hAnsi="Garamond" w:cs="Times New Roman"/>
          <w:i/>
          <w:sz w:val="23"/>
          <w:szCs w:val="23"/>
          <w:lang w:eastAsia="it-IT"/>
        </w:rPr>
        <w:t>C Trasparenza</w:t>
      </w:r>
      <w:r w:rsidRPr="00E62C85">
        <w:rPr>
          <w:rFonts w:ascii="Garamond" w:eastAsia="Times New Roman" w:hAnsi="Garamond" w:cs="Times New Roman"/>
          <w:sz w:val="23"/>
          <w:szCs w:val="23"/>
          <w:lang w:eastAsia="it-IT"/>
        </w:rPr>
        <w:t xml:space="preserve">, </w:t>
      </w:r>
      <w:r w:rsidRPr="00E62C85">
        <w:rPr>
          <w:rFonts w:ascii="Garamond" w:eastAsia="Times New Roman" w:hAnsi="Garamond" w:cs="Times New Roman"/>
          <w:b/>
          <w:sz w:val="23"/>
          <w:szCs w:val="23"/>
          <w:u w:val="single"/>
          <w:lang w:eastAsia="it-IT"/>
        </w:rPr>
        <w:t>alla cui lettura si rimanda</w:t>
      </w:r>
      <w:r w:rsidRPr="00E62C85">
        <w:rPr>
          <w:rFonts w:ascii="Garamond" w:eastAsia="Times New Roman" w:hAnsi="Garamond" w:cs="Times New Roman"/>
          <w:sz w:val="23"/>
          <w:szCs w:val="23"/>
          <w:lang w:eastAsia="it-IT"/>
        </w:rPr>
        <w:t xml:space="preserve">, </w:t>
      </w:r>
      <w:r w:rsidRPr="00E62C85">
        <w:rPr>
          <w:rFonts w:ascii="Garamond" w:eastAsia="Arial" w:hAnsi="Garamond" w:cs="Times New Roman"/>
          <w:sz w:val="23"/>
          <w:szCs w:val="23"/>
        </w:rPr>
        <w:t xml:space="preserve">costituisce elenco e scadenzario degli obblighi di pubblicazione e delle relative responsabilità. Esso </w:t>
      </w:r>
      <w:r w:rsidRPr="00E62C85">
        <w:rPr>
          <w:rFonts w:ascii="Garamond" w:eastAsia="Times New Roman" w:hAnsi="Garamond" w:cs="Times New Roman"/>
          <w:sz w:val="23"/>
          <w:szCs w:val="23"/>
          <w:lang w:eastAsia="it-IT"/>
        </w:rPr>
        <w:t xml:space="preserve">è redatto in conformità </w:t>
      </w:r>
      <w:r w:rsidRPr="00E62C85">
        <w:rPr>
          <w:rFonts w:ascii="Garamond" w:eastAsia="Times New Roman" w:hAnsi="Garamond" w:cs="Times New Roman"/>
          <w:i/>
          <w:sz w:val="23"/>
          <w:szCs w:val="23"/>
          <w:lang w:eastAsia="it-IT"/>
        </w:rPr>
        <w:t>all’Allegato 1</w:t>
      </w:r>
      <w:r w:rsidRPr="00E62C85">
        <w:rPr>
          <w:rFonts w:ascii="Garamond" w:eastAsia="Times New Roman" w:hAnsi="Garamond" w:cs="Times New Roman"/>
          <w:sz w:val="23"/>
          <w:szCs w:val="23"/>
          <w:lang w:eastAsia="it-IT"/>
        </w:rPr>
        <w:t xml:space="preserve"> della Delibera ANAC n. 1310 del 28/12/2016: </w:t>
      </w:r>
      <w:r w:rsidRPr="00E62C85">
        <w:rPr>
          <w:rFonts w:ascii="Garamond" w:eastAsia="Calibri" w:hAnsi="Garamond" w:cs="Times New Roman"/>
          <w:sz w:val="23"/>
          <w:szCs w:val="23"/>
        </w:rPr>
        <w:t>“</w:t>
      </w:r>
      <w:r w:rsidRPr="00E62C85">
        <w:rPr>
          <w:rFonts w:ascii="Garamond" w:eastAsia="Calibri" w:hAnsi="Garamond" w:cs="Times New Roman"/>
          <w:i/>
          <w:sz w:val="23"/>
          <w:szCs w:val="23"/>
        </w:rPr>
        <w:t xml:space="preserve">Prime linee guida recanti indicazioni sull’attuazione degli obblighi di pubblicità, trasparenza e diffusione di informazioni contenute nel d.lgs. 33/2013 come modificato dal d.lgs. 97/2016” </w:t>
      </w:r>
      <w:r w:rsidRPr="00E62C85">
        <w:rPr>
          <w:rFonts w:ascii="Garamond" w:eastAsia="Calibri" w:hAnsi="Garamond" w:cs="Times New Roman"/>
          <w:sz w:val="23"/>
          <w:szCs w:val="23"/>
        </w:rPr>
        <w:t xml:space="preserve">e </w:t>
      </w:r>
      <w:r w:rsidRPr="00E62C85">
        <w:rPr>
          <w:rFonts w:ascii="Garamond" w:eastAsia="Times New Roman" w:hAnsi="Garamond" w:cs="Times New Roman"/>
          <w:sz w:val="23"/>
          <w:szCs w:val="23"/>
          <w:lang w:eastAsia="it-IT"/>
        </w:rPr>
        <w:t xml:space="preserve">riporta l’elenco puntuale </w:t>
      </w:r>
      <w:r w:rsidRPr="00E62C85">
        <w:rPr>
          <w:rFonts w:ascii="Garamond" w:eastAsia="Times New Roman" w:hAnsi="Garamond" w:cs="Times New Roman"/>
          <w:sz w:val="23"/>
          <w:szCs w:val="23"/>
          <w:lang w:eastAsia="it-IT"/>
        </w:rPr>
        <w:lastRenderedPageBreak/>
        <w:t xml:space="preserve">degli obblighi e dei termini di pubblicazione nonché delle Strutture della Giunta Regionale tenute a tale adempimenti, aggiornate a seguito della riorganizzazione della macrostruttura operata nel 2020.  </w:t>
      </w:r>
    </w:p>
    <w:p w14:paraId="2BAD3EC1"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Il PNA 2022 ha introdotto alcune novità relativamente agli obblighi di trasparenza con particolare riferimento alla materia dei contratti pubblici. Ad esempio è stato aggiunto l’obbligo di pubblicazione dei dati relativi all’esecuzione del contratto introdotto dal legislatore nel 2021, la trasparenza è stata estesa alla generalità degli atti adottati dalla stazione appaltante in sede di esecuzione di un contratto d’appalto. Questa disposizione assume maggiore valenza in relazione alle procedure afferenti agli investimenti pubblici finanziati in tutto o in parte con le risorse previste dal PNRR e dal PNC e dai programmi cofinanziati dai fondi strutturali dell’Unione europea, per i quali la disponibilità di ingente quantità di risorse richiede, infatti, adeguati presidi di prevenzione della corruzione, rispetto ai quali la trasparenza della fase esecutiva degli affidamenti riveste grande importanza. </w:t>
      </w:r>
    </w:p>
    <w:p w14:paraId="304D2C7C" w14:textId="77777777" w:rsidR="00E62C85" w:rsidRPr="00E62C85" w:rsidRDefault="00E62C85" w:rsidP="00E62C85">
      <w:pPr>
        <w:spacing w:after="0" w:line="276" w:lineRule="auto"/>
        <w:jc w:val="both"/>
        <w:rPr>
          <w:rFonts w:ascii="Garamond" w:eastAsia="Times New Roman" w:hAnsi="Garamond" w:cs="Times New Roman"/>
          <w:color w:val="00B0F0"/>
          <w:sz w:val="23"/>
          <w:szCs w:val="23"/>
          <w:lang w:eastAsia="it-IT"/>
        </w:rPr>
      </w:pPr>
      <w:r w:rsidRPr="00E62C85">
        <w:rPr>
          <w:rFonts w:ascii="Garamond" w:eastAsia="Times New Roman" w:hAnsi="Garamond" w:cs="Times New Roman"/>
          <w:sz w:val="23"/>
          <w:szCs w:val="23"/>
          <w:lang w:eastAsia="it-IT"/>
        </w:rPr>
        <w:t>Gli obblighi di pubblicazione introdotti recentemente riguardano in particolare la Sezione Bandi di Gare e contratti dell’Allegato C e se n’è data evidenza, in fase di consultazione, con un testo differentemente colorato.</w:t>
      </w:r>
      <w:r w:rsidRPr="00E62C85">
        <w:rPr>
          <w:rFonts w:ascii="Garamond" w:eastAsia="Times New Roman" w:hAnsi="Garamond" w:cs="Times New Roman"/>
          <w:color w:val="00B0F0"/>
          <w:sz w:val="23"/>
          <w:szCs w:val="23"/>
          <w:lang w:eastAsia="it-IT"/>
        </w:rPr>
        <w:t xml:space="preserve">  </w:t>
      </w:r>
    </w:p>
    <w:p w14:paraId="1BB057A2"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Con riferimento ai singoli obblighi, inoltre, sono inserite alcune brevi note informative. </w:t>
      </w:r>
    </w:p>
    <w:p w14:paraId="571E995F"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Nel presente Piano viene sostanzialmente confermata la struttura dell’</w:t>
      </w:r>
      <w:r w:rsidRPr="00E62C85">
        <w:rPr>
          <w:rFonts w:ascii="Garamond" w:eastAsia="Times New Roman" w:hAnsi="Garamond" w:cs="Times New Roman"/>
          <w:i/>
          <w:sz w:val="23"/>
          <w:szCs w:val="23"/>
          <w:lang w:eastAsia="it-IT"/>
        </w:rPr>
        <w:t>Allegato C</w:t>
      </w:r>
      <w:r w:rsidRPr="00E62C85">
        <w:rPr>
          <w:rFonts w:ascii="Garamond" w:eastAsia="Times New Roman" w:hAnsi="Garamond" w:cs="Times New Roman"/>
          <w:sz w:val="23"/>
          <w:szCs w:val="23"/>
          <w:lang w:eastAsia="it-IT"/>
        </w:rPr>
        <w:t xml:space="preserve"> ai precedenti PTPCT.</w:t>
      </w:r>
    </w:p>
    <w:p w14:paraId="4BEEC234" w14:textId="77777777" w:rsidR="00E62C85" w:rsidRPr="00E62C85" w:rsidRDefault="00E62C85" w:rsidP="00E62C85">
      <w:pPr>
        <w:spacing w:after="0" w:line="276" w:lineRule="auto"/>
        <w:rPr>
          <w:rFonts w:ascii="Garamond" w:eastAsia="Arial" w:hAnsi="Garamond" w:cs="Times New Roman"/>
          <w:sz w:val="23"/>
          <w:szCs w:val="23"/>
        </w:rPr>
      </w:pPr>
      <w:r w:rsidRPr="00E62C85">
        <w:rPr>
          <w:rFonts w:ascii="Garamond" w:eastAsia="Arial" w:hAnsi="Garamond" w:cs="Times New Roman"/>
          <w:sz w:val="23"/>
          <w:szCs w:val="23"/>
        </w:rPr>
        <w:t>Per ogni singolo obbligo di pubblicazione sono indicati:</w:t>
      </w:r>
    </w:p>
    <w:p w14:paraId="219D25ED" w14:textId="77777777" w:rsidR="00E62C85" w:rsidRPr="00E62C85" w:rsidRDefault="00E62C85" w:rsidP="00E62C85">
      <w:pPr>
        <w:numPr>
          <w:ilvl w:val="0"/>
          <w:numId w:val="19"/>
        </w:numPr>
        <w:spacing w:after="0" w:line="276" w:lineRule="auto"/>
        <w:ind w:hanging="578"/>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la sottosezione di 1° livello, (corrispondente alla relativa </w:t>
      </w:r>
      <w:proofErr w:type="spellStart"/>
      <w:r w:rsidRPr="00E62C85">
        <w:rPr>
          <w:rFonts w:ascii="Garamond" w:eastAsia="Times New Roman" w:hAnsi="Garamond" w:cs="Times New Roman"/>
          <w:sz w:val="23"/>
          <w:szCs w:val="23"/>
          <w:lang w:eastAsia="it-IT"/>
        </w:rPr>
        <w:t>macrofamiglia</w:t>
      </w:r>
      <w:proofErr w:type="spellEnd"/>
      <w:r w:rsidRPr="00E62C85">
        <w:rPr>
          <w:rFonts w:ascii="Garamond" w:eastAsia="Times New Roman" w:hAnsi="Garamond" w:cs="Times New Roman"/>
          <w:sz w:val="23"/>
          <w:szCs w:val="23"/>
          <w:lang w:eastAsia="it-IT"/>
        </w:rPr>
        <w:t xml:space="preserve"> di dati della sezione Amministrazione Trasparente del sito istituzionale);</w:t>
      </w:r>
    </w:p>
    <w:p w14:paraId="24C4B131" w14:textId="77777777" w:rsidR="00E62C85" w:rsidRPr="00E62C85" w:rsidRDefault="00E62C85" w:rsidP="00E62C85">
      <w:pPr>
        <w:numPr>
          <w:ilvl w:val="0"/>
          <w:numId w:val="19"/>
        </w:numPr>
        <w:spacing w:after="0" w:line="276" w:lineRule="auto"/>
        <w:ind w:hanging="578"/>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la sottosezione di 2° livello, (corrispondente alla relativa famiglia di dati della sezione Amministrazione Trasparente del sito istituzionale);</w:t>
      </w:r>
    </w:p>
    <w:p w14:paraId="28CE7234" w14:textId="77777777" w:rsidR="00E62C85" w:rsidRPr="00E62C85" w:rsidRDefault="00E62C85" w:rsidP="00E62C85">
      <w:pPr>
        <w:numPr>
          <w:ilvl w:val="0"/>
          <w:numId w:val="19"/>
        </w:numPr>
        <w:spacing w:after="0" w:line="276" w:lineRule="auto"/>
        <w:ind w:hanging="578"/>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i riferimenti normativi che determinano l’obbligo di pubblicazione;</w:t>
      </w:r>
    </w:p>
    <w:p w14:paraId="130000B9" w14:textId="77777777" w:rsidR="00E62C85" w:rsidRPr="00E62C85" w:rsidRDefault="00E62C85" w:rsidP="00E62C85">
      <w:pPr>
        <w:numPr>
          <w:ilvl w:val="0"/>
          <w:numId w:val="19"/>
        </w:numPr>
        <w:spacing w:after="0" w:line="276" w:lineRule="auto"/>
        <w:ind w:hanging="578"/>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la denominazione sintetica dell’obbligo;</w:t>
      </w:r>
    </w:p>
    <w:p w14:paraId="022865CB" w14:textId="77777777" w:rsidR="00E62C85" w:rsidRPr="00E62C85" w:rsidRDefault="00E62C85" w:rsidP="00E62C85">
      <w:pPr>
        <w:numPr>
          <w:ilvl w:val="0"/>
          <w:numId w:val="19"/>
        </w:numPr>
        <w:spacing w:after="0" w:line="276" w:lineRule="auto"/>
        <w:ind w:hanging="578"/>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i contenuti di dettaglio dell’obbligo;</w:t>
      </w:r>
      <w:bookmarkStart w:id="82" w:name="page147"/>
      <w:bookmarkEnd w:id="82"/>
    </w:p>
    <w:p w14:paraId="62D5D324" w14:textId="77777777" w:rsidR="00E62C85" w:rsidRPr="00E62C85" w:rsidRDefault="00E62C85" w:rsidP="00E62C85">
      <w:pPr>
        <w:numPr>
          <w:ilvl w:val="0"/>
          <w:numId w:val="19"/>
        </w:numPr>
        <w:spacing w:after="0" w:line="276" w:lineRule="auto"/>
        <w:ind w:hanging="578"/>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la tempistica (ovvero termini di pubblicazione o aggiornamento del dato);</w:t>
      </w:r>
    </w:p>
    <w:p w14:paraId="40120756" w14:textId="77777777" w:rsidR="00E62C85" w:rsidRPr="00E62C85" w:rsidRDefault="00E62C85" w:rsidP="00E62C85">
      <w:pPr>
        <w:numPr>
          <w:ilvl w:val="0"/>
          <w:numId w:val="19"/>
        </w:numPr>
        <w:spacing w:after="0" w:line="276" w:lineRule="auto"/>
        <w:ind w:hanging="578"/>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i Responsabili dei dati, tenuti all'aggiornamento e alla rimozione degli stessi a termine di legge (i Dirigenti individuati restano responsabili dei dati pubblicati, anche con riferimento alle disposizioni in materia di protezione dei dati personali);</w:t>
      </w:r>
    </w:p>
    <w:p w14:paraId="0EB0575F" w14:textId="77777777" w:rsidR="00E62C85" w:rsidRPr="00E62C85" w:rsidRDefault="00E62C85" w:rsidP="00E62C85">
      <w:pPr>
        <w:numPr>
          <w:ilvl w:val="0"/>
          <w:numId w:val="19"/>
        </w:numPr>
        <w:spacing w:after="0" w:line="276" w:lineRule="auto"/>
        <w:ind w:hanging="578"/>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le modalità operative di pubblicazione;</w:t>
      </w:r>
    </w:p>
    <w:p w14:paraId="1E1484EC" w14:textId="77777777" w:rsidR="00E62C85" w:rsidRPr="00E62C85" w:rsidRDefault="00E62C85" w:rsidP="00E62C85">
      <w:pPr>
        <w:numPr>
          <w:ilvl w:val="0"/>
          <w:numId w:val="19"/>
        </w:numPr>
        <w:spacing w:after="0" w:line="276" w:lineRule="auto"/>
        <w:ind w:hanging="578"/>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il monitoraggio annuale al 15 novembre 2023 (da completare in sede di monitoraggio, per le parti di competenza, con indicazione della sigla della Struttura compilante).</w:t>
      </w:r>
    </w:p>
    <w:p w14:paraId="143C080F" w14:textId="77777777" w:rsidR="00E62C85" w:rsidRPr="00E62C85" w:rsidRDefault="00E62C85" w:rsidP="00E62C85">
      <w:pPr>
        <w:spacing w:after="0" w:line="276" w:lineRule="auto"/>
        <w:rPr>
          <w:rFonts w:ascii="Garamond" w:eastAsia="Arial" w:hAnsi="Garamond" w:cs="Times New Roman"/>
          <w:sz w:val="23"/>
          <w:szCs w:val="23"/>
        </w:rPr>
      </w:pPr>
      <w:bookmarkStart w:id="83" w:name="page148"/>
      <w:bookmarkEnd w:id="83"/>
      <w:r w:rsidRPr="00E62C85">
        <w:rPr>
          <w:rFonts w:ascii="Garamond" w:eastAsia="Arial" w:hAnsi="Garamond" w:cs="Times New Roman"/>
          <w:sz w:val="23"/>
          <w:szCs w:val="23"/>
        </w:rPr>
        <w:t>Con riferimento alla tempistica degli adempimenti si forniscono le seguenti indicazioni:</w:t>
      </w:r>
    </w:p>
    <w:p w14:paraId="5E0DF560" w14:textId="77777777" w:rsidR="00E62C85" w:rsidRPr="00E62C85" w:rsidRDefault="00E62C85" w:rsidP="00E62C85">
      <w:pPr>
        <w:numPr>
          <w:ilvl w:val="0"/>
          <w:numId w:val="19"/>
        </w:numPr>
        <w:spacing w:after="0" w:line="276" w:lineRule="auto"/>
        <w:ind w:hanging="578"/>
        <w:jc w:val="both"/>
        <w:rPr>
          <w:rFonts w:ascii="Garamond" w:eastAsia="Arial" w:hAnsi="Garamond" w:cs="Times New Roman"/>
          <w:sz w:val="23"/>
          <w:szCs w:val="23"/>
        </w:rPr>
      </w:pPr>
      <w:r w:rsidRPr="00E62C85">
        <w:rPr>
          <w:rFonts w:ascii="Garamond" w:eastAsia="Arial" w:hAnsi="Garamond" w:cs="Times New Roman"/>
          <w:sz w:val="23"/>
          <w:szCs w:val="23"/>
        </w:rPr>
        <w:t>nell’aggiornamento tempestivo, la pubblicazione deve realizzarsi entro un termine massimo di venti giorni decorrenti dal momento in cui il documento, il dato o l’informazione sia perfezionato o entri in possesso della struttura competente alla pubblicazione;</w:t>
      </w:r>
    </w:p>
    <w:p w14:paraId="588B3A1E" w14:textId="77777777" w:rsidR="00E62C85" w:rsidRPr="00E62C85" w:rsidRDefault="00E62C85" w:rsidP="00E62C85">
      <w:pPr>
        <w:numPr>
          <w:ilvl w:val="0"/>
          <w:numId w:val="19"/>
        </w:numPr>
        <w:spacing w:after="0" w:line="276" w:lineRule="auto"/>
        <w:ind w:hanging="578"/>
        <w:jc w:val="both"/>
        <w:rPr>
          <w:rFonts w:ascii="Garamond" w:eastAsia="Arial" w:hAnsi="Garamond" w:cs="Times New Roman"/>
          <w:sz w:val="23"/>
          <w:szCs w:val="23"/>
        </w:rPr>
      </w:pPr>
      <w:r w:rsidRPr="00E62C85">
        <w:rPr>
          <w:rFonts w:ascii="Garamond" w:eastAsia="Arial" w:hAnsi="Garamond" w:cs="Times New Roman"/>
          <w:sz w:val="23"/>
          <w:szCs w:val="23"/>
        </w:rPr>
        <w:t>nell’aggiornamento trimestrale, semestrale, annuale, la pubblicazione deve essere effettuata entro il termine massimo di venti giorni successivi alla scadenza, rispettivamente, del trimestre, del semestre, dell’annualità</w:t>
      </w:r>
    </w:p>
    <w:p w14:paraId="70416D5B" w14:textId="77777777" w:rsidR="00E62C85" w:rsidRPr="00E62C85" w:rsidRDefault="00E62C85" w:rsidP="00E62C85">
      <w:pPr>
        <w:numPr>
          <w:ilvl w:val="0"/>
          <w:numId w:val="19"/>
        </w:numPr>
        <w:spacing w:after="0" w:line="276" w:lineRule="auto"/>
        <w:ind w:hanging="578"/>
        <w:jc w:val="both"/>
        <w:rPr>
          <w:rFonts w:ascii="Garamond" w:eastAsia="Arial" w:hAnsi="Garamond" w:cs="Times New Roman"/>
          <w:sz w:val="23"/>
          <w:szCs w:val="23"/>
        </w:rPr>
      </w:pPr>
      <w:r w:rsidRPr="00E62C85">
        <w:rPr>
          <w:rFonts w:ascii="Garamond" w:eastAsia="Arial" w:hAnsi="Garamond" w:cs="Times New Roman"/>
          <w:sz w:val="23"/>
          <w:szCs w:val="23"/>
        </w:rPr>
        <w:t>quando viene indicato un intervallo di tempo (es. tre mesi), il dato deve essere pubblicato entro tale periodo massimo.</w:t>
      </w:r>
    </w:p>
    <w:p w14:paraId="190D41CF" w14:textId="77777777" w:rsidR="00E62C85" w:rsidRPr="00E62C85" w:rsidRDefault="00E62C85" w:rsidP="00E62C85">
      <w:pPr>
        <w:shd w:val="clear" w:color="auto" w:fill="FFFFFF"/>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Le denominazioni delle Strutture regionali, riportate nell’Allegato C, i cui Dirigenti o Direttori sono responsabili degli obblighi di pubblicazione, fanno riferimento all’assetto organizzativo della struttura amministrativa della Giunta regionale. </w:t>
      </w:r>
    </w:p>
    <w:p w14:paraId="2CA25E85"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Si precisano di seguito ulteriori elementi e indicazioni relativi predetto </w:t>
      </w:r>
      <w:r w:rsidRPr="00E62C85">
        <w:rPr>
          <w:rFonts w:ascii="Garamond" w:eastAsia="Times New Roman" w:hAnsi="Garamond" w:cs="Times New Roman"/>
          <w:i/>
          <w:sz w:val="23"/>
          <w:szCs w:val="23"/>
          <w:lang w:eastAsia="it-IT"/>
        </w:rPr>
        <w:t>Allegato C</w:t>
      </w:r>
      <w:r w:rsidRPr="00E62C85">
        <w:rPr>
          <w:rFonts w:ascii="Garamond" w:eastAsia="Times New Roman" w:hAnsi="Garamond" w:cs="Times New Roman"/>
          <w:sz w:val="23"/>
          <w:szCs w:val="23"/>
          <w:lang w:eastAsia="it-IT"/>
        </w:rPr>
        <w:t>:</w:t>
      </w:r>
    </w:p>
    <w:p w14:paraId="6C10D042" w14:textId="77777777" w:rsidR="00E62C85" w:rsidRPr="00E62C85" w:rsidRDefault="00E62C85" w:rsidP="00E62C85">
      <w:pPr>
        <w:numPr>
          <w:ilvl w:val="0"/>
          <w:numId w:val="20"/>
        </w:numPr>
        <w:spacing w:after="0" w:line="276" w:lineRule="auto"/>
        <w:ind w:left="709"/>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gli obblighi abrogati o sospesi, sono evidenziati con lo sfondo grigio e con una specifica nota esplicativa posta nella colonna delle “Strutture responsabili dell'aggiornamento dei dati”;</w:t>
      </w:r>
    </w:p>
    <w:p w14:paraId="5C1259CD" w14:textId="77777777" w:rsidR="00E62C85" w:rsidRPr="00E62C85" w:rsidRDefault="00E62C85" w:rsidP="00E62C85">
      <w:pPr>
        <w:numPr>
          <w:ilvl w:val="0"/>
          <w:numId w:val="20"/>
        </w:numPr>
        <w:spacing w:after="0" w:line="276" w:lineRule="auto"/>
        <w:ind w:left="709"/>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gli obblighi che riguardano il Consiglio Regionale, ombreggiati in grigio ed evidenziati con apposite annotazioni.</w:t>
      </w:r>
    </w:p>
    <w:p w14:paraId="470C07FB"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lastRenderedPageBreak/>
        <w:t>Al fine di semplificare gli adempimenti di pubblicazione, è stata modificata la modalità di aggiornamento dei curricula e delle dichiarazioni annuali a carico di Direttori Dirigenti e titolari di Posizioni Organizzative che possono essere caricati direttamente dagli interessati a vantaggio di una maggiore celerità di aggiornamento ma pur di una maggiore responsabilizzazione.</w:t>
      </w:r>
      <w:r w:rsidRPr="00E62C85">
        <w:rPr>
          <w:rFonts w:ascii="Garamond" w:eastAsia="Times New Roman" w:hAnsi="Garamond" w:cs="Times New Roman"/>
          <w:strike/>
          <w:sz w:val="23"/>
          <w:szCs w:val="23"/>
          <w:lang w:eastAsia="it-IT"/>
        </w:rPr>
        <w:t xml:space="preserve"> </w:t>
      </w:r>
    </w:p>
    <w:p w14:paraId="339B0159"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i/>
          <w:sz w:val="23"/>
          <w:szCs w:val="23"/>
          <w:lang w:eastAsia="it-IT"/>
        </w:rPr>
        <w:t xml:space="preserve">L’Allegato D Registro degli Accessi civici </w:t>
      </w:r>
      <w:r w:rsidRPr="00E62C85">
        <w:rPr>
          <w:rFonts w:ascii="Garamond" w:eastAsia="Times New Roman" w:hAnsi="Garamond" w:cs="Times New Roman"/>
          <w:sz w:val="23"/>
          <w:szCs w:val="23"/>
          <w:lang w:eastAsia="it-IT"/>
        </w:rPr>
        <w:t>è funzionale anche alla comunicazione semestrale (15 luglio per il primo semestre e 15 gennaio dell’anno successivo per il secondo) al RPCT delle istanze di accesso civico (sia semplice che generalizzato) ricevute da ogni Struttura nel semestre di riferimento, anche al fine dell’aggiornamento del Registro degli Accessi.</w:t>
      </w:r>
    </w:p>
    <w:p w14:paraId="5C8F9304" w14:textId="77777777" w:rsidR="00E62C85" w:rsidRPr="00E62C85" w:rsidRDefault="00E62C85" w:rsidP="00E62C85">
      <w:pPr>
        <w:spacing w:after="0" w:line="276" w:lineRule="auto"/>
        <w:jc w:val="both"/>
        <w:rPr>
          <w:rFonts w:ascii="Garamond" w:eastAsia="Calibri" w:hAnsi="Garamond" w:cs="Times New Roman"/>
          <w:bCs/>
          <w:i/>
          <w:iCs/>
          <w:sz w:val="23"/>
          <w:szCs w:val="23"/>
          <w:u w:val="single"/>
          <w:lang w:eastAsia="it-IT"/>
        </w:rPr>
      </w:pPr>
      <w:r w:rsidRPr="00E62C85">
        <w:rPr>
          <w:rFonts w:ascii="Garamond" w:eastAsia="Times New Roman" w:hAnsi="Garamond" w:cs="Times New Roman"/>
          <w:sz w:val="23"/>
          <w:szCs w:val="23"/>
          <w:lang w:eastAsia="it-IT"/>
        </w:rPr>
        <w:t xml:space="preserve">Esso contiene una sezione dedicata alle istanze di </w:t>
      </w:r>
      <w:r w:rsidRPr="00E62C85">
        <w:rPr>
          <w:rFonts w:ascii="Garamond" w:eastAsia="Times New Roman" w:hAnsi="Garamond" w:cs="Times New Roman"/>
          <w:i/>
          <w:sz w:val="23"/>
          <w:szCs w:val="23"/>
          <w:lang w:eastAsia="it-IT"/>
        </w:rPr>
        <w:t>accesso civico generalizzato</w:t>
      </w:r>
      <w:r w:rsidRPr="00E62C85">
        <w:rPr>
          <w:rFonts w:ascii="Garamond" w:eastAsia="Times New Roman" w:hAnsi="Garamond" w:cs="Times New Roman"/>
          <w:sz w:val="23"/>
          <w:szCs w:val="23"/>
          <w:lang w:eastAsia="it-IT"/>
        </w:rPr>
        <w:t xml:space="preserve"> (art. 5, co. 2 del </w:t>
      </w:r>
      <w:proofErr w:type="gramStart"/>
      <w:r w:rsidRPr="00E62C85">
        <w:rPr>
          <w:rFonts w:ascii="Garamond" w:eastAsia="Times New Roman" w:hAnsi="Garamond" w:cs="Times New Roman"/>
          <w:sz w:val="23"/>
          <w:szCs w:val="23"/>
          <w:lang w:eastAsia="it-IT"/>
        </w:rPr>
        <w:t>d.Lgs</w:t>
      </w:r>
      <w:proofErr w:type="gramEnd"/>
      <w:r w:rsidRPr="00E62C85">
        <w:rPr>
          <w:rFonts w:ascii="Garamond" w:eastAsia="Times New Roman" w:hAnsi="Garamond" w:cs="Times New Roman"/>
          <w:sz w:val="23"/>
          <w:szCs w:val="23"/>
          <w:lang w:eastAsia="it-IT"/>
        </w:rPr>
        <w:t xml:space="preserve">.33/2013) e l’altra dedicata alle istanze di </w:t>
      </w:r>
      <w:r w:rsidRPr="00E62C85">
        <w:rPr>
          <w:rFonts w:ascii="Garamond" w:eastAsia="Times New Roman" w:hAnsi="Garamond" w:cs="Times New Roman"/>
          <w:i/>
          <w:sz w:val="23"/>
          <w:szCs w:val="23"/>
          <w:lang w:eastAsia="it-IT"/>
        </w:rPr>
        <w:t xml:space="preserve">accesso civico semplice </w:t>
      </w:r>
      <w:r w:rsidRPr="00E62C85">
        <w:rPr>
          <w:rFonts w:ascii="Garamond" w:eastAsia="Times New Roman" w:hAnsi="Garamond" w:cs="Times New Roman"/>
          <w:sz w:val="23"/>
          <w:szCs w:val="23"/>
          <w:lang w:eastAsia="it-IT"/>
        </w:rPr>
        <w:t>di cui al comma 1 del medesimo art. 5.</w:t>
      </w:r>
    </w:p>
    <w:p w14:paraId="0B07D893" w14:textId="77777777" w:rsidR="00E62C85" w:rsidRPr="00E62C85" w:rsidRDefault="00E62C85" w:rsidP="00E62C85">
      <w:pPr>
        <w:tabs>
          <w:tab w:val="left" w:pos="9354"/>
        </w:tabs>
        <w:autoSpaceDE w:val="0"/>
        <w:autoSpaceDN w:val="0"/>
        <w:adjustRightInd w:val="0"/>
        <w:spacing w:after="0" w:line="276" w:lineRule="auto"/>
        <w:ind w:right="284"/>
        <w:jc w:val="both"/>
        <w:rPr>
          <w:rFonts w:ascii="Garamond" w:eastAsia="Calibri" w:hAnsi="Garamond" w:cs="Times New Roman"/>
          <w:sz w:val="23"/>
          <w:szCs w:val="23"/>
          <w:lang w:eastAsia="it-IT"/>
        </w:rPr>
      </w:pPr>
      <w:r w:rsidRPr="00E62C85">
        <w:rPr>
          <w:rFonts w:ascii="Garamond" w:eastAsia="Times New Roman" w:hAnsi="Garamond" w:cs="Times New Roman"/>
          <w:sz w:val="23"/>
          <w:szCs w:val="23"/>
          <w:lang w:eastAsia="it-IT"/>
        </w:rPr>
        <w:t>L’</w:t>
      </w:r>
      <w:r w:rsidRPr="00E62C85">
        <w:rPr>
          <w:rFonts w:ascii="Garamond" w:eastAsia="Times New Roman" w:hAnsi="Garamond" w:cs="Times New Roman"/>
          <w:i/>
          <w:sz w:val="23"/>
          <w:szCs w:val="23"/>
          <w:lang w:eastAsia="it-IT"/>
        </w:rPr>
        <w:t>Allegato E</w:t>
      </w:r>
      <w:r w:rsidRPr="00E62C85">
        <w:rPr>
          <w:rFonts w:ascii="Garamond" w:eastAsia="Times New Roman" w:hAnsi="Garamond" w:cs="Times New Roman"/>
          <w:sz w:val="23"/>
          <w:szCs w:val="23"/>
          <w:lang w:eastAsia="it-IT"/>
        </w:rPr>
        <w:t xml:space="preserve"> è funzionale all’adempimento di cui a</w:t>
      </w:r>
      <w:r w:rsidRPr="00E62C85">
        <w:rPr>
          <w:rFonts w:ascii="Garamond" w:hAnsi="Garamond" w:cs="Times New Roman"/>
          <w:sz w:val="23"/>
          <w:szCs w:val="23"/>
        </w:rPr>
        <w:t>ll’art. 1, co. 28, della Legge n. 190/2012 per il quale le amministrazioni provvedono al monitoraggio periodico del rispetto dei tempi procedimentali attraverso la tempestiva eliminazione delle anomalie e rendono consultabili nel sito web istituzionale i risultati del monitoraggio.</w:t>
      </w:r>
    </w:p>
    <w:p w14:paraId="470C23E4" w14:textId="77777777" w:rsidR="00E62C85" w:rsidRPr="00E62C85" w:rsidRDefault="00E62C85" w:rsidP="00E62C85">
      <w:pPr>
        <w:spacing w:after="0" w:line="276" w:lineRule="auto"/>
        <w:jc w:val="both"/>
        <w:rPr>
          <w:rFonts w:ascii="Garamond" w:eastAsia="Calibri" w:hAnsi="Garamond" w:cs="Times New Roman"/>
          <w:sz w:val="23"/>
          <w:szCs w:val="23"/>
          <w:lang w:eastAsia="it-IT"/>
        </w:rPr>
      </w:pPr>
      <w:r w:rsidRPr="00E62C85">
        <w:rPr>
          <w:rFonts w:ascii="Garamond" w:eastAsia="Calibri" w:hAnsi="Garamond" w:cs="Times New Roman"/>
          <w:sz w:val="23"/>
          <w:szCs w:val="23"/>
          <w:lang w:eastAsia="it-IT"/>
        </w:rPr>
        <w:t xml:space="preserve">La sezione Amministrazione Trasparente del sito istituzionale della Regione Abruzzo ha visto, negli ultimi anni, un notevole incremento delle informazioni pubblicate ed un’attenzione crescente da parte di tutto il personale. </w:t>
      </w:r>
    </w:p>
    <w:p w14:paraId="37C9CD47" w14:textId="77777777" w:rsidR="00E62C85" w:rsidRPr="00E62C85" w:rsidRDefault="00E62C85" w:rsidP="00E62C85">
      <w:pPr>
        <w:spacing w:after="0" w:line="276" w:lineRule="auto"/>
        <w:jc w:val="both"/>
        <w:rPr>
          <w:rFonts w:ascii="Garamond" w:eastAsia="Calibri" w:hAnsi="Garamond" w:cs="Times New Roman"/>
          <w:sz w:val="23"/>
          <w:szCs w:val="23"/>
          <w:lang w:eastAsia="it-IT"/>
        </w:rPr>
      </w:pPr>
      <w:r w:rsidRPr="00E62C85">
        <w:rPr>
          <w:rFonts w:ascii="Garamond" w:eastAsia="Calibri" w:hAnsi="Garamond" w:cs="Times New Roman"/>
          <w:sz w:val="23"/>
          <w:szCs w:val="23"/>
          <w:lang w:eastAsia="it-IT"/>
        </w:rPr>
        <w:t>Il riscontro dei buoni risultati conseguiti è rilevabile dai seguenti elementi:</w:t>
      </w:r>
    </w:p>
    <w:p w14:paraId="53D4E267" w14:textId="77777777" w:rsidR="00E62C85" w:rsidRPr="00E62C85" w:rsidRDefault="00E62C85" w:rsidP="00E62C85">
      <w:pPr>
        <w:numPr>
          <w:ilvl w:val="0"/>
          <w:numId w:val="17"/>
        </w:numPr>
        <w:spacing w:after="0" w:line="276" w:lineRule="auto"/>
        <w:ind w:left="851" w:hanging="567"/>
        <w:jc w:val="both"/>
        <w:rPr>
          <w:rFonts w:ascii="Garamond" w:eastAsia="Calibri" w:hAnsi="Garamond" w:cs="Times New Roman"/>
          <w:sz w:val="23"/>
          <w:szCs w:val="23"/>
          <w:lang w:eastAsia="it-IT"/>
        </w:rPr>
      </w:pPr>
      <w:r w:rsidRPr="00E62C85">
        <w:rPr>
          <w:rFonts w:ascii="Garamond" w:eastAsia="Calibri" w:hAnsi="Garamond" w:cs="Times New Roman"/>
          <w:sz w:val="23"/>
          <w:szCs w:val="23"/>
          <w:lang w:eastAsia="it-IT"/>
        </w:rPr>
        <w:t>la validazione da parte di ANAC dei dati riferiti alla contrattualistica regionale trasmessi annualmente dalla Regione all’Autorità, in attuazione dell’obbligo di cui alla legge 190/2012, art.1, co. 32, ha registrato un costante esito positivo, a decorrere dall’anno 2017;</w:t>
      </w:r>
    </w:p>
    <w:p w14:paraId="28FE5971" w14:textId="77777777" w:rsidR="00E62C85" w:rsidRPr="00E62C85" w:rsidRDefault="00E62C85" w:rsidP="00E62C85">
      <w:pPr>
        <w:numPr>
          <w:ilvl w:val="0"/>
          <w:numId w:val="17"/>
        </w:numPr>
        <w:spacing w:after="120" w:line="276" w:lineRule="auto"/>
        <w:ind w:left="851" w:hanging="567"/>
        <w:jc w:val="both"/>
        <w:rPr>
          <w:rFonts w:ascii="Garamond" w:eastAsia="Calibri" w:hAnsi="Garamond" w:cs="Times New Roman"/>
          <w:sz w:val="23"/>
          <w:szCs w:val="23"/>
          <w:lang w:eastAsia="it-IT"/>
        </w:rPr>
      </w:pPr>
      <w:r w:rsidRPr="00E62C85">
        <w:rPr>
          <w:rFonts w:ascii="Garamond" w:eastAsia="Calibri" w:hAnsi="Garamond" w:cs="Times New Roman"/>
          <w:sz w:val="23"/>
          <w:szCs w:val="23"/>
          <w:lang w:eastAsia="it-IT"/>
        </w:rPr>
        <w:t>le attestazioni OIV richieste annualmente dall’ANAC al predetto Organismo indipendente di valutazione, ai sensi dell’art. 45, co. 1, del d.lgs. 33/2013 che registrano un trend positivo  rilevabile dalla documentazione pubblicata nella sezione Amministrazione trasparente/Controlli e rilievi sull’Amministrazione/OIV/ Attestazioni OIV; nell’annualità 2022, in particolare, l’RPCT ha dato impulso al superamento da parte degli uffici regionali di criticità rilevate con riferimento al formato dei CV di consulenti e collaboratori e alle dichiarazioni  di cui all’art. 20, commi 1 e 2, del D.Lgs.39/2013 rilasciate dagli  amministratori degli enti di diritto privato controllati.</w:t>
      </w:r>
    </w:p>
    <w:p w14:paraId="40BA1D97" w14:textId="77777777" w:rsidR="00E62C85" w:rsidRPr="00E62C85" w:rsidRDefault="00E62C85" w:rsidP="00E62C85">
      <w:pPr>
        <w:autoSpaceDE w:val="0"/>
        <w:autoSpaceDN w:val="0"/>
        <w:adjustRightInd w:val="0"/>
        <w:spacing w:after="0" w:line="276" w:lineRule="auto"/>
        <w:jc w:val="both"/>
        <w:rPr>
          <w:rFonts w:ascii="Garamond" w:eastAsia="Times New Roman" w:hAnsi="Garamond" w:cs="Times New Roman"/>
          <w:sz w:val="23"/>
          <w:szCs w:val="23"/>
          <w:lang w:eastAsia="it-IT"/>
        </w:rPr>
      </w:pPr>
      <w:r w:rsidRPr="00E62C85">
        <w:rPr>
          <w:rFonts w:ascii="Garamond" w:eastAsia="Calibri" w:hAnsi="Garamond" w:cs="Times New Roman"/>
          <w:sz w:val="23"/>
          <w:szCs w:val="23"/>
        </w:rPr>
        <w:t xml:space="preserve">Con riferimento a quest’ultimo punto, va ricordato che </w:t>
      </w:r>
      <w:r w:rsidRPr="00E62C85">
        <w:rPr>
          <w:rFonts w:ascii="Garamond" w:eastAsia="Times New Roman" w:hAnsi="Garamond" w:cs="Times New Roman"/>
          <w:sz w:val="23"/>
          <w:szCs w:val="23"/>
          <w:lang w:eastAsia="it-IT"/>
        </w:rPr>
        <w:t xml:space="preserve">il RPCT, ai sensi dell’art. 43, co. 1, del </w:t>
      </w:r>
      <w:proofErr w:type="spellStart"/>
      <w:proofErr w:type="gramStart"/>
      <w:r w:rsidRPr="00E62C85">
        <w:rPr>
          <w:rFonts w:ascii="Garamond" w:eastAsia="Times New Roman" w:hAnsi="Garamond" w:cs="Times New Roman"/>
          <w:sz w:val="23"/>
          <w:szCs w:val="23"/>
          <w:lang w:eastAsia="it-IT"/>
        </w:rPr>
        <w:t>D.Lgs</w:t>
      </w:r>
      <w:proofErr w:type="gramEnd"/>
      <w:r w:rsidRPr="00E62C85">
        <w:rPr>
          <w:rFonts w:ascii="Garamond" w:eastAsia="Times New Roman" w:hAnsi="Garamond" w:cs="Times New Roman"/>
          <w:sz w:val="23"/>
          <w:szCs w:val="23"/>
          <w:lang w:eastAsia="it-IT"/>
        </w:rPr>
        <w:t>.</w:t>
      </w:r>
      <w:proofErr w:type="spellEnd"/>
      <w:r w:rsidRPr="00E62C85">
        <w:rPr>
          <w:rFonts w:ascii="Garamond" w:eastAsia="Times New Roman" w:hAnsi="Garamond" w:cs="Times New Roman"/>
          <w:sz w:val="23"/>
          <w:szCs w:val="23"/>
          <w:lang w:eastAsia="it-IT"/>
        </w:rPr>
        <w:t xml:space="preserve"> 33/2013, </w:t>
      </w:r>
      <w:r w:rsidRPr="00E62C85">
        <w:rPr>
          <w:rFonts w:ascii="Garamond" w:eastAsia="Times New Roman" w:hAnsi="Garamond" w:cs="Times New Roman"/>
          <w:i/>
          <w:iCs/>
          <w:sz w:val="23"/>
          <w:szCs w:val="23"/>
          <w:lang w:eastAsia="it-IT"/>
        </w:rPr>
        <w:t xml:space="preserve">svolge stabilmente un’attività di controllo sull'adempimento da parte dell'amministrazione degli obblighi di pubblicazione previsti dalla normativa vigente, assicurando la completezza, la chiarezza e l'aggiornamento delle informazioni pubblicate </w:t>
      </w:r>
      <w:r w:rsidRPr="00E62C85">
        <w:rPr>
          <w:rFonts w:ascii="Garamond" w:eastAsia="Times New Roman" w:hAnsi="Garamond" w:cs="Times New Roman"/>
          <w:sz w:val="23"/>
          <w:szCs w:val="23"/>
          <w:lang w:eastAsia="it-IT"/>
        </w:rPr>
        <w:t xml:space="preserve">ed è tenuto a segnalare all’OIV, all’Ufficio Procedimenti Disciplinari e all’Organo Politico </w:t>
      </w:r>
      <w:r w:rsidRPr="00E62C85">
        <w:rPr>
          <w:rFonts w:ascii="Garamond" w:eastAsia="Times New Roman" w:hAnsi="Garamond" w:cs="Times New Roman"/>
          <w:i/>
          <w:iCs/>
          <w:sz w:val="23"/>
          <w:szCs w:val="23"/>
          <w:lang w:eastAsia="it-IT"/>
        </w:rPr>
        <w:t>i casi di mancato o ritardato adempimento dei già menzionati obblighi</w:t>
      </w:r>
      <w:r w:rsidRPr="00E62C85">
        <w:rPr>
          <w:rFonts w:ascii="Garamond" w:eastAsia="Times New Roman" w:hAnsi="Garamond" w:cs="Times New Roman"/>
          <w:sz w:val="23"/>
          <w:szCs w:val="23"/>
          <w:lang w:eastAsia="it-IT"/>
        </w:rPr>
        <w:t xml:space="preserve">. </w:t>
      </w:r>
    </w:p>
    <w:p w14:paraId="3F0E0605" w14:textId="77777777" w:rsidR="00E62C85" w:rsidRPr="00E62C85" w:rsidRDefault="00E62C85" w:rsidP="00E62C85">
      <w:pPr>
        <w:autoSpaceDE w:val="0"/>
        <w:autoSpaceDN w:val="0"/>
        <w:adjustRightInd w:val="0"/>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La collaborazione fra OIV e RPCT è senz’altro fondamentale per innalzare il livello di attenzione sugli adempimenti relativi alla Trasparenza e all’Anticorruzione da parte dei Dirigenti regionali tenuto conto che  gli obblighi di Trasparenza costituiscono </w:t>
      </w:r>
      <w:r w:rsidRPr="00E62C85">
        <w:rPr>
          <w:rFonts w:ascii="Garamond" w:eastAsia="Times New Roman" w:hAnsi="Garamond" w:cs="Times New Roman"/>
          <w:sz w:val="23"/>
          <w:szCs w:val="23"/>
          <w:u w:val="single"/>
          <w:lang w:eastAsia="it-IT"/>
        </w:rPr>
        <w:t>obiettivo trasversale nel Piano della Performance</w:t>
      </w:r>
      <w:r w:rsidRPr="00E62C85">
        <w:rPr>
          <w:rFonts w:ascii="Garamond" w:eastAsia="Times New Roman" w:hAnsi="Garamond" w:cs="Times New Roman"/>
          <w:sz w:val="23"/>
          <w:szCs w:val="23"/>
          <w:lang w:eastAsia="it-IT"/>
        </w:rPr>
        <w:t xml:space="preserve"> con la conseguenza che il conseguimento di tale obiettivo è entrato nella valutazione della performance dirigenziale da parte dell’OIV A tal fine il RPCT trasmette annualmente all’Organismo di valutazione le risultanze dei monitoraggi sugli adempimenti di anticorruzione e di attuazione degli obblighi di pubblicazione e dell’accesso civico.</w:t>
      </w:r>
    </w:p>
    <w:p w14:paraId="1809B154" w14:textId="77777777" w:rsidR="00E62C85" w:rsidRPr="00E62C85" w:rsidRDefault="00E62C85" w:rsidP="00E62C85">
      <w:pPr>
        <w:spacing w:after="0" w:line="276" w:lineRule="auto"/>
        <w:ind w:right="83"/>
        <w:jc w:val="both"/>
        <w:rPr>
          <w:rFonts w:ascii="Garamond" w:eastAsia="Times New Roman" w:hAnsi="Garamond" w:cs="Times New Roman"/>
          <w:bCs/>
          <w:sz w:val="23"/>
          <w:szCs w:val="23"/>
          <w:lang w:eastAsia="it-IT"/>
        </w:rPr>
      </w:pPr>
      <w:r w:rsidRPr="00E62C85">
        <w:rPr>
          <w:rFonts w:ascii="Garamond" w:eastAsia="Times New Roman" w:hAnsi="Garamond" w:cs="Times New Roman"/>
          <w:bCs/>
          <w:sz w:val="23"/>
          <w:szCs w:val="23"/>
          <w:lang w:eastAsia="it-IT"/>
        </w:rPr>
        <w:t xml:space="preserve">Inoltre all’OIV compete l’attestazione sull’assolvimento degli obblighi di pubblicazione. </w:t>
      </w:r>
    </w:p>
    <w:p w14:paraId="46E4B03E" w14:textId="77777777" w:rsidR="00E62C85" w:rsidRPr="00E62C85" w:rsidRDefault="00E62C85" w:rsidP="00E62C85">
      <w:pPr>
        <w:autoSpaceDE w:val="0"/>
        <w:autoSpaceDN w:val="0"/>
        <w:adjustRightInd w:val="0"/>
        <w:spacing w:after="0" w:line="276" w:lineRule="auto"/>
        <w:jc w:val="both"/>
        <w:rPr>
          <w:rFonts w:ascii="Garamond" w:eastAsia="Calibri" w:hAnsi="Garamond" w:cs="Times New Roman"/>
          <w:i/>
          <w:iCs/>
          <w:color w:val="00B0F0"/>
          <w:sz w:val="23"/>
          <w:szCs w:val="23"/>
        </w:rPr>
      </w:pPr>
      <w:r w:rsidRPr="00E62C85">
        <w:rPr>
          <w:rFonts w:ascii="Garamond" w:eastAsia="Calibri" w:hAnsi="Garamond" w:cs="Times New Roman"/>
          <w:iCs/>
          <w:sz w:val="23"/>
          <w:szCs w:val="23"/>
        </w:rPr>
        <w:t xml:space="preserve">L’intensa attività di sollecito e supporto ha avuto positivo riscontro nella valutazione operata dall’Organismo di Valutazione, come rilevabile dalle attestazioni rese negli anni e pubblicate nella sottosezione </w:t>
      </w:r>
      <w:hyperlink r:id="rId13" w:history="1">
        <w:r w:rsidRPr="00E62C85">
          <w:rPr>
            <w:rFonts w:ascii="Garamond" w:eastAsia="Calibri" w:hAnsi="Garamond" w:cs="Times New Roman"/>
            <w:iCs/>
            <w:sz w:val="23"/>
            <w:szCs w:val="23"/>
          </w:rPr>
          <w:t>Amministrazione Trasparente</w:t>
        </w:r>
      </w:hyperlink>
      <w:r w:rsidRPr="00E62C85">
        <w:rPr>
          <w:rFonts w:ascii="Garamond" w:eastAsia="Calibri" w:hAnsi="Garamond" w:cs="Times New Roman"/>
          <w:iCs/>
          <w:sz w:val="23"/>
          <w:szCs w:val="23"/>
        </w:rPr>
        <w:t>/</w:t>
      </w:r>
      <w:hyperlink r:id="rId14" w:history="1">
        <w:r w:rsidRPr="00E62C85">
          <w:rPr>
            <w:rFonts w:ascii="Garamond" w:eastAsia="Calibri" w:hAnsi="Garamond" w:cs="Times New Roman"/>
            <w:iCs/>
            <w:sz w:val="23"/>
            <w:szCs w:val="23"/>
          </w:rPr>
          <w:t>Controlli e rilievi sull'amministrazione</w:t>
        </w:r>
      </w:hyperlink>
      <w:r w:rsidRPr="00E62C85">
        <w:rPr>
          <w:rFonts w:ascii="Garamond" w:eastAsia="Calibri" w:hAnsi="Garamond" w:cs="Times New Roman"/>
          <w:iCs/>
          <w:sz w:val="23"/>
          <w:szCs w:val="23"/>
        </w:rPr>
        <w:t>/OIV</w:t>
      </w:r>
      <w:r w:rsidRPr="00E62C85">
        <w:rPr>
          <w:rFonts w:ascii="Garamond" w:eastAsia="Calibri" w:hAnsi="Garamond" w:cs="Times New Roman"/>
          <w:i/>
          <w:iCs/>
          <w:sz w:val="23"/>
          <w:szCs w:val="23"/>
        </w:rPr>
        <w:t xml:space="preserve">. </w:t>
      </w:r>
    </w:p>
    <w:p w14:paraId="4E4A145D" w14:textId="77777777" w:rsidR="00E62C85" w:rsidRPr="00E62C85" w:rsidRDefault="00E62C85" w:rsidP="00E62C85">
      <w:pPr>
        <w:overflowPunct w:val="0"/>
        <w:autoSpaceDE w:val="0"/>
        <w:autoSpaceDN w:val="0"/>
        <w:adjustRightInd w:val="0"/>
        <w:spacing w:after="0" w:line="276" w:lineRule="auto"/>
        <w:jc w:val="both"/>
        <w:textAlignment w:val="baseline"/>
        <w:rPr>
          <w:rFonts w:ascii="Garamond" w:eastAsia="Calibri" w:hAnsi="Garamond" w:cs="Times New Roman"/>
          <w:sz w:val="23"/>
          <w:szCs w:val="23"/>
        </w:rPr>
      </w:pPr>
      <w:r w:rsidRPr="00E62C85">
        <w:rPr>
          <w:rFonts w:ascii="Garamond" w:eastAsia="Calibri" w:hAnsi="Garamond" w:cs="Times New Roman"/>
          <w:sz w:val="23"/>
          <w:szCs w:val="23"/>
        </w:rPr>
        <w:t>In attuazione della legge n. 190/2012, art.1, co. 8, la Giunta Regionale, con Deliberazione n. 20 del 20 gennaio 2020,</w:t>
      </w:r>
      <w:r w:rsidRPr="00E62C85">
        <w:rPr>
          <w:rFonts w:ascii="Garamond" w:eastAsia="Calibri" w:hAnsi="Garamond" w:cs="Times New Roman"/>
          <w:b/>
          <w:sz w:val="23"/>
          <w:szCs w:val="23"/>
        </w:rPr>
        <w:t xml:space="preserve"> </w:t>
      </w:r>
      <w:r w:rsidRPr="00E62C85">
        <w:rPr>
          <w:rFonts w:ascii="Garamond" w:eastAsia="Calibri" w:hAnsi="Garamond" w:cs="Times New Roman"/>
          <w:sz w:val="23"/>
          <w:szCs w:val="23"/>
        </w:rPr>
        <w:t>ha individuato, fra l’altro, i seguenti obiettivi strategici in materia di trasparenza per il triennio 2020/2022:</w:t>
      </w:r>
    </w:p>
    <w:p w14:paraId="0AFC0576" w14:textId="77777777" w:rsidR="00E62C85" w:rsidRPr="00E62C85" w:rsidRDefault="00E62C85" w:rsidP="00E62C85">
      <w:pPr>
        <w:numPr>
          <w:ilvl w:val="0"/>
          <w:numId w:val="18"/>
        </w:numPr>
        <w:spacing w:after="0" w:line="276" w:lineRule="auto"/>
        <w:ind w:left="567" w:hanging="567"/>
        <w:jc w:val="both"/>
        <w:rPr>
          <w:rFonts w:ascii="Garamond" w:eastAsia="Calibri" w:hAnsi="Garamond" w:cs="Times New Roman"/>
          <w:i/>
          <w:sz w:val="23"/>
          <w:szCs w:val="23"/>
        </w:rPr>
      </w:pPr>
      <w:r w:rsidRPr="00E62C85">
        <w:rPr>
          <w:rFonts w:ascii="Garamond" w:eastAsia="Calibri" w:hAnsi="Garamond" w:cs="Times New Roman"/>
          <w:i/>
          <w:sz w:val="23"/>
          <w:szCs w:val="23"/>
        </w:rPr>
        <w:lastRenderedPageBreak/>
        <w:t>adozione, nel corso del triennio, di adeguate misure di miglioramento del grado di informatizzazione dei processi, ai fini di una ottimale gestione del rischio corruttivo e di una semplificazione degli adempimenti in materia di trasparenza e di monitoraggio;</w:t>
      </w:r>
    </w:p>
    <w:p w14:paraId="016A32E6" w14:textId="77777777" w:rsidR="00E62C85" w:rsidRPr="00E62C85" w:rsidRDefault="00E62C85" w:rsidP="00E62C85">
      <w:pPr>
        <w:numPr>
          <w:ilvl w:val="0"/>
          <w:numId w:val="18"/>
        </w:numPr>
        <w:spacing w:after="0" w:line="276" w:lineRule="auto"/>
        <w:ind w:left="567" w:hanging="567"/>
        <w:jc w:val="both"/>
        <w:rPr>
          <w:rFonts w:ascii="Garamond" w:eastAsia="Calibri" w:hAnsi="Garamond" w:cs="Times New Roman"/>
          <w:i/>
          <w:sz w:val="23"/>
          <w:szCs w:val="23"/>
        </w:rPr>
      </w:pPr>
      <w:r w:rsidRPr="00E62C85">
        <w:rPr>
          <w:rFonts w:ascii="Garamond" w:eastAsia="Calibri" w:hAnsi="Garamond" w:cs="Times New Roman"/>
          <w:i/>
          <w:sz w:val="23"/>
          <w:szCs w:val="23"/>
        </w:rPr>
        <w:t xml:space="preserve">aggiornamento ed implementazione della “Rete dei Referenti” di cui alla DGR 200/2016 per una migliore gestione dei processi, con l’onere per ciascun Dipartimento di individuare uno o più referenti, anche tenendo conto delle diverse sedi di servizio; </w:t>
      </w:r>
      <w:r w:rsidRPr="00E62C85">
        <w:rPr>
          <w:rFonts w:ascii="Garamond" w:eastAsia="Calibri" w:hAnsi="Garamond" w:cs="Times New Roman"/>
          <w:sz w:val="23"/>
          <w:szCs w:val="23"/>
        </w:rPr>
        <w:t xml:space="preserve">con nota CAP </w:t>
      </w:r>
      <w:proofErr w:type="spellStart"/>
      <w:r w:rsidRPr="00E62C85">
        <w:rPr>
          <w:rFonts w:ascii="Garamond" w:eastAsia="Calibri" w:hAnsi="Garamond" w:cs="Times New Roman"/>
          <w:sz w:val="23"/>
          <w:szCs w:val="23"/>
        </w:rPr>
        <w:t>prot</w:t>
      </w:r>
      <w:proofErr w:type="spellEnd"/>
      <w:r w:rsidRPr="00E62C85">
        <w:rPr>
          <w:rFonts w:ascii="Garamond" w:eastAsia="Calibri" w:hAnsi="Garamond" w:cs="Times New Roman"/>
          <w:sz w:val="23"/>
          <w:szCs w:val="23"/>
        </w:rPr>
        <w:t>. RA/203468 del 24/05/2022, il RPCT ha chiesto alle strutture regionali di comunicare i nominativi di 2 dipendenti ai fini dell’aggiornamento della Rete dei referenti del RPCT;</w:t>
      </w:r>
    </w:p>
    <w:p w14:paraId="622F496A" w14:textId="77777777" w:rsidR="00E62C85" w:rsidRPr="00E62C85" w:rsidRDefault="00E62C85" w:rsidP="00E62C85">
      <w:pPr>
        <w:numPr>
          <w:ilvl w:val="0"/>
          <w:numId w:val="18"/>
        </w:numPr>
        <w:spacing w:after="0" w:line="276" w:lineRule="auto"/>
        <w:ind w:left="567" w:hanging="567"/>
        <w:jc w:val="both"/>
        <w:rPr>
          <w:rFonts w:ascii="Garamond" w:eastAsia="Calibri" w:hAnsi="Garamond" w:cs="Times New Roman"/>
          <w:i/>
          <w:sz w:val="23"/>
          <w:szCs w:val="23"/>
        </w:rPr>
      </w:pPr>
      <w:r w:rsidRPr="00E62C85">
        <w:rPr>
          <w:rFonts w:ascii="Garamond" w:eastAsia="Calibri" w:hAnsi="Garamond" w:cs="Times New Roman"/>
          <w:i/>
          <w:sz w:val="23"/>
          <w:szCs w:val="23"/>
        </w:rPr>
        <w:t>previsione nell’apposito Piano di idonea formazione obbligatoria in materia di trasparenza prevenzione della corruzione, declinata in livelli differenziati di offerte formative.</w:t>
      </w:r>
    </w:p>
    <w:p w14:paraId="4B2059A0" w14:textId="77777777" w:rsidR="00E62C85" w:rsidRPr="00E62C85" w:rsidRDefault="00E62C85" w:rsidP="00E62C85">
      <w:pPr>
        <w:spacing w:after="0" w:line="276" w:lineRule="auto"/>
        <w:jc w:val="both"/>
        <w:rPr>
          <w:rFonts w:ascii="Garamond" w:eastAsia="Calibri" w:hAnsi="Garamond" w:cs="Times New Roman"/>
          <w:sz w:val="23"/>
          <w:szCs w:val="23"/>
        </w:rPr>
      </w:pPr>
      <w:r w:rsidRPr="00E62C85">
        <w:rPr>
          <w:rFonts w:ascii="Garamond" w:eastAsia="Calibri" w:hAnsi="Garamond" w:cs="Times New Roman"/>
          <w:sz w:val="23"/>
          <w:szCs w:val="23"/>
        </w:rPr>
        <w:t>L’attuazione dei predetti obiettivi, non essendo riferibile alla sola Struttura del RPCT, dipenderà senz’altro dal grado di collaborazione di tutte le strutture regionali oltreché del Servizio Informatica e del Servizio preposto alla formazione del personale.</w:t>
      </w:r>
    </w:p>
    <w:p w14:paraId="331B2691" w14:textId="77777777" w:rsidR="00E62C85" w:rsidRPr="00E62C85" w:rsidRDefault="00E62C85" w:rsidP="00E62C85">
      <w:pPr>
        <w:autoSpaceDE w:val="0"/>
        <w:autoSpaceDN w:val="0"/>
        <w:adjustRightInd w:val="0"/>
        <w:spacing w:after="0" w:line="276" w:lineRule="auto"/>
        <w:jc w:val="both"/>
        <w:rPr>
          <w:rFonts w:ascii="Garamond" w:eastAsia="Times New Roman" w:hAnsi="Garamond" w:cs="Times New Roman"/>
          <w:sz w:val="23"/>
          <w:szCs w:val="23"/>
          <w:lang w:eastAsia="it-IT"/>
        </w:rPr>
      </w:pPr>
    </w:p>
    <w:p w14:paraId="33A3618B" w14:textId="77777777" w:rsidR="00E62C85" w:rsidRPr="00E62C85" w:rsidRDefault="00E62C85" w:rsidP="00E62C85">
      <w:pPr>
        <w:spacing w:after="0" w:line="276" w:lineRule="auto"/>
        <w:ind w:right="-1"/>
        <w:jc w:val="both"/>
        <w:rPr>
          <w:rFonts w:ascii="Garamond" w:eastAsia="Calibri" w:hAnsi="Garamond" w:cs="Times New Roman"/>
          <w:b/>
          <w:i/>
          <w:smallCaps/>
          <w:sz w:val="23"/>
          <w:szCs w:val="23"/>
        </w:rPr>
      </w:pPr>
      <w:bookmarkStart w:id="84" w:name="_Toc43329248"/>
      <w:bookmarkStart w:id="85" w:name="_Toc44404307"/>
      <w:bookmarkStart w:id="86" w:name="_Toc101344217"/>
      <w:bookmarkEnd w:id="74"/>
      <w:bookmarkEnd w:id="75"/>
    </w:p>
    <w:p w14:paraId="1DE1D54F" w14:textId="77777777" w:rsidR="00E62C85" w:rsidRPr="00E62C85" w:rsidRDefault="00E62C85" w:rsidP="00E62C85">
      <w:pPr>
        <w:spacing w:after="0" w:line="276" w:lineRule="auto"/>
        <w:ind w:right="-1"/>
        <w:jc w:val="both"/>
        <w:rPr>
          <w:rFonts w:ascii="Garamond" w:eastAsia="Calibri" w:hAnsi="Garamond" w:cs="Times New Roman"/>
          <w:b/>
          <w:i/>
          <w:smallCaps/>
          <w:sz w:val="23"/>
          <w:szCs w:val="23"/>
        </w:rPr>
      </w:pPr>
      <w:r w:rsidRPr="00E62C85">
        <w:rPr>
          <w:rFonts w:ascii="Garamond" w:eastAsia="Calibri" w:hAnsi="Garamond" w:cs="Times New Roman"/>
          <w:b/>
          <w:i/>
          <w:smallCaps/>
          <w:sz w:val="23"/>
          <w:szCs w:val="23"/>
        </w:rPr>
        <w:t xml:space="preserve">Attuazione degli obblighi di trasparenza nel rispetto delle norme in materia di privacy e di tutela dei dati personali (reg. </w:t>
      </w:r>
      <w:proofErr w:type="spellStart"/>
      <w:r w:rsidRPr="00E62C85">
        <w:rPr>
          <w:rFonts w:ascii="Garamond" w:eastAsia="Calibri" w:hAnsi="Garamond" w:cs="Times New Roman"/>
          <w:b/>
          <w:i/>
          <w:smallCaps/>
          <w:sz w:val="23"/>
          <w:szCs w:val="23"/>
        </w:rPr>
        <w:t>ue</w:t>
      </w:r>
      <w:proofErr w:type="spellEnd"/>
      <w:r w:rsidRPr="00E62C85">
        <w:rPr>
          <w:rFonts w:ascii="Garamond" w:eastAsia="Calibri" w:hAnsi="Garamond" w:cs="Times New Roman"/>
          <w:b/>
          <w:i/>
          <w:smallCaps/>
          <w:sz w:val="23"/>
          <w:szCs w:val="23"/>
        </w:rPr>
        <w:t xml:space="preserve"> 2016/679)</w:t>
      </w:r>
      <w:bookmarkEnd w:id="84"/>
      <w:bookmarkEnd w:id="85"/>
      <w:bookmarkEnd w:id="86"/>
    </w:p>
    <w:p w14:paraId="7BC0F9EF" w14:textId="77777777" w:rsidR="00E62C85" w:rsidRPr="00E62C85" w:rsidRDefault="00E62C85" w:rsidP="00E62C85">
      <w:pPr>
        <w:spacing w:after="0" w:line="276" w:lineRule="auto"/>
        <w:ind w:right="-1"/>
        <w:jc w:val="both"/>
        <w:rPr>
          <w:rFonts w:ascii="Garamond" w:eastAsia="Calibri" w:hAnsi="Garamond" w:cs="Times New Roman"/>
          <w:b/>
          <w:i/>
          <w:smallCaps/>
          <w:sz w:val="23"/>
          <w:szCs w:val="23"/>
        </w:rPr>
      </w:pPr>
    </w:p>
    <w:p w14:paraId="3541358B" w14:textId="1BC31175"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La trasparenza amministrativa e il diritto alla tutela dei dati personali sono ambiti tra loro strettamente connessi e, come ribadito dalla Corte Costituzionale (sentenza n. 20/2019 nel giudizio di legittimità costituzionale dell’art. 14, commi 1-bis e 1-ter, del decreto legislativo 14 marzo 2013, n. 33), si tratta di due diritti che meritano eguale considerazion</w:t>
      </w:r>
      <w:r>
        <w:rPr>
          <w:rFonts w:ascii="Garamond" w:eastAsia="Times New Roman" w:hAnsi="Garamond" w:cs="Times New Roman"/>
          <w:sz w:val="23"/>
          <w:szCs w:val="23"/>
          <w:lang w:eastAsia="it-IT"/>
        </w:rPr>
        <w:t>e e tutela. L’ordinamento, nello</w:t>
      </w:r>
      <w:r w:rsidRPr="00E62C85">
        <w:rPr>
          <w:rFonts w:ascii="Garamond" w:eastAsia="Times New Roman" w:hAnsi="Garamond" w:cs="Times New Roman"/>
          <w:sz w:val="23"/>
          <w:szCs w:val="23"/>
          <w:lang w:eastAsia="it-IT"/>
        </w:rPr>
        <w:t xml:space="preserve"> stesso momento in cui afferma il diritto del cittadino alla trasparenza dell’azione </w:t>
      </w:r>
      <w:proofErr w:type="spellStart"/>
      <w:r w:rsidRPr="00E62C85">
        <w:rPr>
          <w:rFonts w:ascii="Garamond" w:eastAsia="Times New Roman" w:hAnsi="Garamond" w:cs="Times New Roman"/>
          <w:sz w:val="23"/>
          <w:szCs w:val="23"/>
          <w:lang w:eastAsia="it-IT"/>
        </w:rPr>
        <w:t>amminsitrativa</w:t>
      </w:r>
      <w:proofErr w:type="spellEnd"/>
      <w:r w:rsidRPr="00E62C85">
        <w:rPr>
          <w:rFonts w:ascii="Garamond" w:eastAsia="Times New Roman" w:hAnsi="Garamond" w:cs="Times New Roman"/>
          <w:sz w:val="23"/>
          <w:szCs w:val="23"/>
          <w:lang w:eastAsia="it-IT"/>
        </w:rPr>
        <w:t>, sancisce altresì i limiti che la trasparenza incontra. Tali limiti dovranno pertanto tradursi in una attività di bilanciamento di opposti interessi, che l’</w:t>
      </w:r>
      <w:proofErr w:type="spellStart"/>
      <w:r w:rsidRPr="00E62C85">
        <w:rPr>
          <w:rFonts w:ascii="Garamond" w:eastAsia="Times New Roman" w:hAnsi="Garamond" w:cs="Times New Roman"/>
          <w:sz w:val="23"/>
          <w:szCs w:val="23"/>
          <w:lang w:eastAsia="it-IT"/>
        </w:rPr>
        <w:t>Amminsitrazione</w:t>
      </w:r>
      <w:proofErr w:type="spellEnd"/>
      <w:r w:rsidRPr="00E62C85">
        <w:rPr>
          <w:rFonts w:ascii="Garamond" w:eastAsia="Times New Roman" w:hAnsi="Garamond" w:cs="Times New Roman"/>
          <w:sz w:val="23"/>
          <w:szCs w:val="23"/>
          <w:lang w:eastAsia="it-IT"/>
        </w:rPr>
        <w:t xml:space="preserve"> dovrà opportunamente svolgere.</w:t>
      </w:r>
    </w:p>
    <w:p w14:paraId="21AFE8BE" w14:textId="77777777" w:rsidR="00E62C85" w:rsidRPr="00E62C85" w:rsidRDefault="00E62C85" w:rsidP="00E62C85">
      <w:pPr>
        <w:pStyle w:val="NormaleWeb"/>
        <w:shd w:val="clear" w:color="auto" w:fill="FFFFFF"/>
        <w:spacing w:before="0" w:beforeAutospacing="0" w:after="0" w:afterAutospacing="0" w:line="276" w:lineRule="auto"/>
        <w:jc w:val="both"/>
        <w:rPr>
          <w:rFonts w:ascii="Garamond" w:hAnsi="Garamond"/>
          <w:sz w:val="23"/>
          <w:szCs w:val="23"/>
        </w:rPr>
      </w:pPr>
      <w:r w:rsidRPr="00E62C85">
        <w:rPr>
          <w:rFonts w:ascii="Garamond" w:hAnsi="Garamond"/>
          <w:sz w:val="23"/>
          <w:szCs w:val="23"/>
        </w:rPr>
        <w:t>Nel 2016, con il D.lgs. n. 97, attuativo della delega contenuta nella legge 7 agosto 2015 n. 124, il legislatore italiano ha modificato il D.lgs. n. 33/2013 (in seguito anche “Decreto trasparenza”).</w:t>
      </w:r>
    </w:p>
    <w:p w14:paraId="7480934B" w14:textId="77777777" w:rsidR="00E62C85" w:rsidRPr="00E62C85" w:rsidRDefault="00E62C85" w:rsidP="00E62C85">
      <w:pPr>
        <w:pStyle w:val="NormaleWeb"/>
        <w:shd w:val="clear" w:color="auto" w:fill="FFFFFF"/>
        <w:spacing w:before="0" w:beforeAutospacing="0" w:after="0" w:afterAutospacing="0" w:line="276" w:lineRule="auto"/>
        <w:jc w:val="both"/>
        <w:rPr>
          <w:rFonts w:ascii="Garamond" w:hAnsi="Garamond"/>
          <w:sz w:val="23"/>
          <w:szCs w:val="23"/>
        </w:rPr>
      </w:pPr>
      <w:r w:rsidRPr="00E62C85">
        <w:rPr>
          <w:rFonts w:ascii="Garamond" w:hAnsi="Garamond"/>
          <w:sz w:val="23"/>
          <w:szCs w:val="23"/>
        </w:rPr>
        <w:t xml:space="preserve">Innanzitutto, è stata novellata la nozione generale di “trasparenza” di cui all’art. 1, comma 1, del D.lgs. 33/2013: se prima era diretta semplicemente all’accessibilità totale delle informazioni relative all’organizzazione e alle attività delle pubbliche amministrazioni, con la riforma la trasparenza deve essere intesa come </w:t>
      </w:r>
      <w:r w:rsidRPr="00E62C85">
        <w:rPr>
          <w:rFonts w:ascii="Garamond" w:hAnsi="Garamond"/>
          <w:i/>
          <w:sz w:val="23"/>
          <w:szCs w:val="23"/>
        </w:rPr>
        <w:t>“accessibilità totale dei dati e dei documenti detenuti dalle pubbliche amministrazioni”</w:t>
      </w:r>
      <w:r w:rsidRPr="00E62C85">
        <w:rPr>
          <w:rFonts w:ascii="Garamond" w:hAnsi="Garamond"/>
          <w:sz w:val="23"/>
          <w:szCs w:val="23"/>
        </w:rPr>
        <w:t>.</w:t>
      </w:r>
    </w:p>
    <w:p w14:paraId="039F8F06" w14:textId="77777777" w:rsidR="00E62C85" w:rsidRPr="00E62C85" w:rsidRDefault="00E62C85" w:rsidP="00E62C85">
      <w:pPr>
        <w:pStyle w:val="NormaleWeb"/>
        <w:shd w:val="clear" w:color="auto" w:fill="FFFFFF"/>
        <w:spacing w:before="0" w:beforeAutospacing="0" w:after="0" w:afterAutospacing="0" w:line="276" w:lineRule="auto"/>
        <w:jc w:val="both"/>
        <w:rPr>
          <w:rFonts w:ascii="Garamond" w:hAnsi="Garamond"/>
          <w:sz w:val="23"/>
          <w:szCs w:val="23"/>
        </w:rPr>
      </w:pPr>
      <w:r w:rsidRPr="00E62C85">
        <w:rPr>
          <w:rFonts w:ascii="Garamond" w:hAnsi="Garamond"/>
          <w:sz w:val="23"/>
          <w:szCs w:val="23"/>
        </w:rPr>
        <w:t xml:space="preserve">Inoltre, se in precedenza era diretta soltanto a </w:t>
      </w:r>
      <w:r w:rsidRPr="00E62C85">
        <w:rPr>
          <w:rFonts w:ascii="Garamond" w:hAnsi="Garamond"/>
          <w:i/>
          <w:sz w:val="23"/>
          <w:szCs w:val="23"/>
        </w:rPr>
        <w:t>“favorire forme diffuse di controllo sul perseguimento delle funzioni istituzionali e sull’utilizzo delle risorse pubbliche”</w:t>
      </w:r>
      <w:r w:rsidRPr="00E62C85">
        <w:rPr>
          <w:rFonts w:ascii="Garamond" w:hAnsi="Garamond"/>
          <w:sz w:val="23"/>
          <w:szCs w:val="23"/>
        </w:rPr>
        <w:t xml:space="preserve">, con la riforma è volta anche a </w:t>
      </w:r>
      <w:r w:rsidRPr="00E62C85">
        <w:rPr>
          <w:rFonts w:ascii="Garamond" w:hAnsi="Garamond"/>
          <w:i/>
          <w:sz w:val="23"/>
          <w:szCs w:val="23"/>
        </w:rPr>
        <w:t>“tutelare i diritti dei cittadini, promuovere la partecipazione degli interessati all’attività amministrativa”</w:t>
      </w:r>
      <w:r w:rsidRPr="00E62C85">
        <w:rPr>
          <w:rFonts w:ascii="Garamond" w:hAnsi="Garamond"/>
          <w:sz w:val="23"/>
          <w:szCs w:val="23"/>
        </w:rPr>
        <w:t>.</w:t>
      </w:r>
    </w:p>
    <w:p w14:paraId="1B3E8684" w14:textId="77777777" w:rsidR="00E62C85" w:rsidRPr="00E62C85" w:rsidRDefault="00E62C85" w:rsidP="00E62C85">
      <w:pPr>
        <w:pStyle w:val="NormaleWeb"/>
        <w:shd w:val="clear" w:color="auto" w:fill="FFFFFF"/>
        <w:spacing w:before="0" w:beforeAutospacing="0" w:after="0" w:afterAutospacing="0" w:line="276" w:lineRule="auto"/>
        <w:jc w:val="both"/>
        <w:rPr>
          <w:rFonts w:ascii="Garamond" w:hAnsi="Garamond"/>
          <w:sz w:val="23"/>
          <w:szCs w:val="23"/>
        </w:rPr>
      </w:pPr>
      <w:r w:rsidRPr="00E62C85">
        <w:rPr>
          <w:rFonts w:ascii="Garamond" w:hAnsi="Garamond"/>
          <w:sz w:val="23"/>
          <w:szCs w:val="23"/>
        </w:rPr>
        <w:t>Nella sostanza, l’ordinamento è ormai improntato decisamente a una netta preferenza per la trasparenza dell’attività amministrativa, nel quale l’accesso generalizzato si delinea come strumento di libertà che incontra quali unici limiti, da una parte, il rispetto della tutela degli interessi pubblici e/o privati indicati all’art. 5-bis, commi 1 e 2, e dall’altra, il rispetto delle norme che prevedono specifiche esclusioni ex art. 5-bis, comma 3, D.lgs. 33/2013.</w:t>
      </w:r>
    </w:p>
    <w:p w14:paraId="48BB254F" w14:textId="77777777" w:rsidR="00E62C85" w:rsidRPr="00E62C85" w:rsidRDefault="00E62C85" w:rsidP="00E62C85">
      <w:pPr>
        <w:pStyle w:val="NormaleWeb"/>
        <w:shd w:val="clear" w:color="auto" w:fill="FFFFFF"/>
        <w:spacing w:before="0" w:beforeAutospacing="0" w:after="0" w:afterAutospacing="0" w:line="276" w:lineRule="auto"/>
        <w:jc w:val="both"/>
        <w:rPr>
          <w:rFonts w:ascii="Garamond" w:hAnsi="Garamond"/>
          <w:sz w:val="23"/>
          <w:szCs w:val="23"/>
        </w:rPr>
      </w:pPr>
      <w:r w:rsidRPr="00E62C85">
        <w:rPr>
          <w:rFonts w:ascii="Garamond" w:hAnsi="Garamond"/>
          <w:sz w:val="23"/>
          <w:szCs w:val="23"/>
        </w:rPr>
        <w:t xml:space="preserve">Dalla lettura dell’art. 5-bis, commi 1, 2 e 3, del D.lgs. 33/2013 si possono distinguere due tipi di eccezioni: “assolute” </w:t>
      </w:r>
      <w:proofErr w:type="gramStart"/>
      <w:r w:rsidRPr="00E62C85">
        <w:rPr>
          <w:rFonts w:ascii="Garamond" w:hAnsi="Garamond"/>
          <w:sz w:val="23"/>
          <w:szCs w:val="23"/>
        </w:rPr>
        <w:t>e “</w:t>
      </w:r>
      <w:proofErr w:type="gramEnd"/>
      <w:r w:rsidRPr="00E62C85">
        <w:rPr>
          <w:rFonts w:ascii="Garamond" w:hAnsi="Garamond"/>
          <w:sz w:val="23"/>
          <w:szCs w:val="23"/>
        </w:rPr>
        <w:t>relative”. Con riferimento alle eccezioni assolute, il comma 3 dell’art. 5-bis del D.lgs. 33/2013 stabilisce che l’accesso generalizzato “è escluso”:</w:t>
      </w:r>
    </w:p>
    <w:p w14:paraId="4E9319BF" w14:textId="77777777" w:rsidR="00E62C85" w:rsidRPr="00E62C85" w:rsidRDefault="00E62C85" w:rsidP="00E62C85">
      <w:pPr>
        <w:pStyle w:val="NormaleWeb"/>
        <w:numPr>
          <w:ilvl w:val="0"/>
          <w:numId w:val="38"/>
        </w:numPr>
        <w:shd w:val="clear" w:color="auto" w:fill="FFFFFF"/>
        <w:spacing w:before="0" w:beforeAutospacing="0" w:after="0" w:afterAutospacing="0" w:line="276" w:lineRule="auto"/>
        <w:ind w:left="714" w:hanging="357"/>
        <w:jc w:val="both"/>
        <w:rPr>
          <w:rFonts w:ascii="Garamond" w:hAnsi="Garamond"/>
          <w:sz w:val="23"/>
          <w:szCs w:val="23"/>
        </w:rPr>
      </w:pPr>
      <w:r w:rsidRPr="00E62C85">
        <w:rPr>
          <w:rFonts w:ascii="Garamond" w:hAnsi="Garamond"/>
          <w:sz w:val="23"/>
          <w:szCs w:val="23"/>
        </w:rPr>
        <w:t>in caso di segreto di Stato;</w:t>
      </w:r>
    </w:p>
    <w:p w14:paraId="7C4F8A40" w14:textId="77777777" w:rsidR="00E62C85" w:rsidRPr="00E62C85" w:rsidRDefault="00E62C85" w:rsidP="00E62C85">
      <w:pPr>
        <w:pStyle w:val="NormaleWeb"/>
        <w:numPr>
          <w:ilvl w:val="0"/>
          <w:numId w:val="38"/>
        </w:numPr>
        <w:shd w:val="clear" w:color="auto" w:fill="FFFFFF"/>
        <w:spacing w:before="0" w:beforeAutospacing="0" w:after="0" w:afterAutospacing="0" w:line="276" w:lineRule="auto"/>
        <w:ind w:left="714" w:hanging="357"/>
        <w:jc w:val="both"/>
        <w:rPr>
          <w:rFonts w:ascii="Garamond" w:hAnsi="Garamond"/>
          <w:sz w:val="23"/>
          <w:szCs w:val="23"/>
        </w:rPr>
      </w:pPr>
      <w:r w:rsidRPr="00E62C85">
        <w:rPr>
          <w:rFonts w:ascii="Garamond" w:hAnsi="Garamond"/>
          <w:sz w:val="23"/>
          <w:szCs w:val="23"/>
        </w:rPr>
        <w:t>negli altri casi di divieti di accesso o divulgazione previsti dalla legge, ivi compresi i casi in cui l’accesso è subordinato dalla disciplina vigente al rispetto di specifiche condizioni, modalità o limiti, inclusi quelli di cui all’art. 24, comma 1, della Legge 241/1990.</w:t>
      </w:r>
    </w:p>
    <w:p w14:paraId="1277BF99" w14:textId="77777777" w:rsidR="00E62C85" w:rsidRPr="00E62C85" w:rsidRDefault="00E62C85" w:rsidP="00E62C85">
      <w:pPr>
        <w:pStyle w:val="NormaleWeb"/>
        <w:shd w:val="clear" w:color="auto" w:fill="FFFFFF"/>
        <w:spacing w:before="0" w:beforeAutospacing="0" w:after="0" w:afterAutospacing="0" w:line="276" w:lineRule="auto"/>
        <w:ind w:left="714"/>
        <w:jc w:val="both"/>
        <w:rPr>
          <w:rFonts w:ascii="Garamond" w:hAnsi="Garamond"/>
          <w:sz w:val="23"/>
          <w:szCs w:val="23"/>
        </w:rPr>
      </w:pPr>
    </w:p>
    <w:p w14:paraId="16FE1E49" w14:textId="77777777" w:rsidR="00E62C85" w:rsidRPr="00E62C85" w:rsidRDefault="00E62C85" w:rsidP="00E62C85">
      <w:pPr>
        <w:pStyle w:val="NormaleWeb"/>
        <w:shd w:val="clear" w:color="auto" w:fill="FFFFFF"/>
        <w:spacing w:before="0" w:beforeAutospacing="0" w:after="240" w:afterAutospacing="0" w:line="276" w:lineRule="auto"/>
        <w:jc w:val="both"/>
        <w:rPr>
          <w:rFonts w:ascii="Garamond" w:hAnsi="Garamond"/>
          <w:sz w:val="23"/>
          <w:szCs w:val="23"/>
        </w:rPr>
      </w:pPr>
      <w:r w:rsidRPr="00E62C85">
        <w:rPr>
          <w:rFonts w:ascii="Garamond" w:hAnsi="Garamond"/>
          <w:sz w:val="23"/>
          <w:szCs w:val="23"/>
        </w:rPr>
        <w:lastRenderedPageBreak/>
        <w:t>Risulta allora evidente che l’accesso generalizzato andrà escluso ogni volta che è previsto un divieto di diffusione/pubblicazione dei dati personali o quando l’accessibilità a quei dati è regolata da specifiche norme di settore. Per esempio, in nessun caso possono essere acquisiti con l’accesso generalizzato le tipologie di:</w:t>
      </w:r>
    </w:p>
    <w:p w14:paraId="2DDC97DC" w14:textId="77777777" w:rsidR="00E62C85" w:rsidRPr="00E62C85" w:rsidRDefault="00E62C85" w:rsidP="00E62C85">
      <w:pPr>
        <w:numPr>
          <w:ilvl w:val="0"/>
          <w:numId w:val="35"/>
        </w:numPr>
        <w:shd w:val="clear" w:color="auto" w:fill="FFFFFF"/>
        <w:spacing w:before="100" w:beforeAutospacing="1" w:after="100" w:afterAutospacing="1"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dati genetici, biometrici e relativi alla salute (l’art. 2-septies, comma 8, del Codice Privacy novellato ne vieta la diffusione);</w:t>
      </w:r>
    </w:p>
    <w:p w14:paraId="02BA9563" w14:textId="77777777" w:rsidR="00E62C85" w:rsidRPr="00E62C85" w:rsidRDefault="00E62C85" w:rsidP="00E62C85">
      <w:pPr>
        <w:numPr>
          <w:ilvl w:val="0"/>
          <w:numId w:val="35"/>
        </w:numPr>
        <w:shd w:val="clear" w:color="auto" w:fill="FFFFFF"/>
        <w:spacing w:before="100" w:beforeAutospacing="1" w:after="100" w:afterAutospacing="1"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dati genetici, relativi alla salute nonché alla vita e all’orientamento sessuali (art. 60 Codice privacy novellato);</w:t>
      </w:r>
    </w:p>
    <w:p w14:paraId="4B01AEDC" w14:textId="77777777" w:rsidR="00E62C85" w:rsidRPr="00E62C85" w:rsidRDefault="00E62C85" w:rsidP="00E62C85">
      <w:pPr>
        <w:numPr>
          <w:ilvl w:val="0"/>
          <w:numId w:val="35"/>
        </w:numPr>
        <w:shd w:val="clear" w:color="auto" w:fill="FFFFFF"/>
        <w:spacing w:before="100" w:beforeAutospacing="1" w:after="100" w:afterAutospacing="1"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dati idonei a rivelare lo stato di salute e la vita sessuale (art. 7-bis, comma 6, D.lgs. 33/2013 ne fissa i limiti in ordine all’accesso e alla diffusione);</w:t>
      </w:r>
    </w:p>
    <w:p w14:paraId="1A9E1B19" w14:textId="77777777" w:rsidR="00E62C85" w:rsidRPr="00E62C85" w:rsidRDefault="00E62C85" w:rsidP="00E62C85">
      <w:pPr>
        <w:numPr>
          <w:ilvl w:val="0"/>
          <w:numId w:val="35"/>
        </w:numPr>
        <w:shd w:val="clear" w:color="auto" w:fill="FFFFFF"/>
        <w:spacing w:before="100" w:beforeAutospacing="1" w:after="100" w:afterAutospacing="1"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dati identificativi di persone beneficiarie di aiuti economici da cui è possibile ricavare informazioni relative allo stato di salute o alla situazione di disagio economico-sociale degli interessati (art. 26, comma 4, D.lgs. 33/2013 ne esclude la pubblicazione);</w:t>
      </w:r>
    </w:p>
    <w:p w14:paraId="3E824B26" w14:textId="77777777" w:rsidR="00E62C85" w:rsidRPr="00E62C85" w:rsidRDefault="00E62C85" w:rsidP="00E62C85">
      <w:pPr>
        <w:numPr>
          <w:ilvl w:val="0"/>
          <w:numId w:val="35"/>
        </w:numPr>
        <w:shd w:val="clear" w:color="auto" w:fill="FFFFFF"/>
        <w:spacing w:before="100" w:beforeAutospacing="1" w:after="100" w:afterAutospacing="1"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informazioni di carattere psicoattitudinale (art. 24, comma 1, L. 241/1990);</w:t>
      </w:r>
    </w:p>
    <w:p w14:paraId="2789CC12" w14:textId="77777777" w:rsidR="00E62C85" w:rsidRPr="00E62C85" w:rsidRDefault="00E62C85" w:rsidP="00E62C85">
      <w:pPr>
        <w:numPr>
          <w:ilvl w:val="0"/>
          <w:numId w:val="35"/>
        </w:numPr>
        <w:shd w:val="clear" w:color="auto" w:fill="FFFFFF"/>
        <w:spacing w:before="100" w:beforeAutospacing="1" w:after="100" w:afterAutospacing="1"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in materia di </w:t>
      </w:r>
      <w:proofErr w:type="spellStart"/>
      <w:r w:rsidRPr="00E62C85">
        <w:rPr>
          <w:rFonts w:ascii="Garamond" w:eastAsia="Times New Roman" w:hAnsi="Garamond" w:cs="Times New Roman"/>
          <w:sz w:val="23"/>
          <w:szCs w:val="23"/>
          <w:lang w:eastAsia="it-IT"/>
        </w:rPr>
        <w:t>whistleblowing</w:t>
      </w:r>
      <w:proofErr w:type="spellEnd"/>
      <w:r w:rsidRPr="00E62C85">
        <w:rPr>
          <w:rFonts w:ascii="Garamond" w:eastAsia="Times New Roman" w:hAnsi="Garamond" w:cs="Times New Roman"/>
          <w:sz w:val="23"/>
          <w:szCs w:val="23"/>
          <w:lang w:eastAsia="it-IT"/>
        </w:rPr>
        <w:t>, seppure la legge non lo preveda espressamente, si ritiene che il nominativo del segnalante (nonché del segnalato) o i dati che possano rilevarne anche indirettamente l’identità ma anche a tutti gli elementi della segnalazione, inclusa la documentazione ad essa allegata.</w:t>
      </w:r>
    </w:p>
    <w:p w14:paraId="6C668B27" w14:textId="77777777" w:rsidR="00E62C85" w:rsidRPr="00E62C85" w:rsidRDefault="00E62C85" w:rsidP="00E62C85">
      <w:pPr>
        <w:pStyle w:val="NormaleWeb"/>
        <w:shd w:val="clear" w:color="auto" w:fill="FFFFFF"/>
        <w:spacing w:before="0" w:beforeAutospacing="0" w:after="240" w:afterAutospacing="0" w:line="276" w:lineRule="auto"/>
        <w:jc w:val="both"/>
        <w:rPr>
          <w:rFonts w:ascii="Garamond" w:hAnsi="Garamond"/>
          <w:sz w:val="23"/>
          <w:szCs w:val="23"/>
        </w:rPr>
      </w:pPr>
      <w:r w:rsidRPr="00E62C85">
        <w:rPr>
          <w:rFonts w:ascii="Garamond" w:hAnsi="Garamond"/>
          <w:sz w:val="23"/>
          <w:szCs w:val="23"/>
        </w:rPr>
        <w:t>Com’è chiaro, si tratta di eccezioni poste da una norma di rango primario a tutela di interessi pubblici e privati fondamentali e prioritari rispetto a quello del diritto alla conoscenza diffusa. In presenza di tali eccezioni “assolute” l’amministrazione è tenuta a rifiutare l’accesso generalizzato e non residua in capo ad essa alcun margine di discrezionalità.</w:t>
      </w:r>
    </w:p>
    <w:p w14:paraId="34F55559" w14:textId="77777777" w:rsidR="00E62C85" w:rsidRPr="00E62C85" w:rsidRDefault="00E62C85" w:rsidP="00E62C85">
      <w:pPr>
        <w:pStyle w:val="NormaleWeb"/>
        <w:shd w:val="clear" w:color="auto" w:fill="FFFFFF"/>
        <w:spacing w:before="0" w:beforeAutospacing="0" w:after="240" w:afterAutospacing="0"/>
        <w:jc w:val="both"/>
        <w:rPr>
          <w:rFonts w:ascii="Garamond" w:hAnsi="Garamond"/>
          <w:b/>
          <w:sz w:val="23"/>
          <w:szCs w:val="23"/>
        </w:rPr>
      </w:pPr>
      <w:r w:rsidRPr="00E62C85">
        <w:rPr>
          <w:rFonts w:ascii="Garamond" w:hAnsi="Garamond"/>
          <w:b/>
          <w:sz w:val="23"/>
          <w:szCs w:val="23"/>
        </w:rPr>
        <w:t>Eccezioni relative</w:t>
      </w:r>
    </w:p>
    <w:p w14:paraId="1399C18B" w14:textId="77777777" w:rsidR="00E62C85" w:rsidRDefault="00E62C85" w:rsidP="00E62C85">
      <w:pPr>
        <w:pStyle w:val="NormaleWeb"/>
        <w:shd w:val="clear" w:color="auto" w:fill="FFFFFF"/>
        <w:spacing w:before="0" w:beforeAutospacing="0" w:after="0" w:afterAutospacing="0" w:line="276" w:lineRule="auto"/>
        <w:jc w:val="both"/>
        <w:rPr>
          <w:rFonts w:ascii="Garamond" w:hAnsi="Garamond"/>
          <w:sz w:val="23"/>
          <w:szCs w:val="23"/>
        </w:rPr>
      </w:pPr>
      <w:r w:rsidRPr="00E62C85">
        <w:rPr>
          <w:rFonts w:ascii="Garamond" w:hAnsi="Garamond"/>
          <w:sz w:val="23"/>
          <w:szCs w:val="23"/>
        </w:rPr>
        <w:t>Diversamente, ai commi 1 e 2 dell’art. 5-bis del Decreto trasparenza troviamo le </w:t>
      </w:r>
      <w:r w:rsidRPr="00E62C85">
        <w:rPr>
          <w:rFonts w:ascii="Garamond" w:hAnsi="Garamond"/>
          <w:bCs/>
          <w:sz w:val="23"/>
          <w:szCs w:val="23"/>
        </w:rPr>
        <w:t>eccezioni relative</w:t>
      </w:r>
      <w:r w:rsidRPr="00E62C85">
        <w:rPr>
          <w:rFonts w:ascii="Garamond" w:hAnsi="Garamond"/>
          <w:sz w:val="23"/>
          <w:szCs w:val="23"/>
        </w:rPr>
        <w:t> (o qualificate) in relazione alle quali la PA può rifiutare l’accesso all’esito di un procedimento di bilanciamento tra l’interesse pubblico alla conoscibilità del dato e la tutela di altri interessi, pubblici e privati, considerati dall’ordinamento di particolare rilievo giuridico.</w:t>
      </w:r>
    </w:p>
    <w:p w14:paraId="42D80CAD" w14:textId="45849577" w:rsidR="00E62C85" w:rsidRPr="00E62C85" w:rsidRDefault="00E62C85" w:rsidP="00E62C85">
      <w:pPr>
        <w:pStyle w:val="NormaleWeb"/>
        <w:shd w:val="clear" w:color="auto" w:fill="FFFFFF"/>
        <w:spacing w:before="0" w:beforeAutospacing="0" w:after="0" w:afterAutospacing="0" w:line="276" w:lineRule="auto"/>
        <w:jc w:val="both"/>
        <w:rPr>
          <w:rFonts w:ascii="Garamond" w:hAnsi="Garamond"/>
          <w:sz w:val="23"/>
          <w:szCs w:val="23"/>
        </w:rPr>
      </w:pPr>
    </w:p>
    <w:p w14:paraId="756B1E6A" w14:textId="77777777" w:rsidR="00E62C85" w:rsidRPr="00E62C85" w:rsidRDefault="00E62C85" w:rsidP="00E62C85">
      <w:pPr>
        <w:pStyle w:val="NormaleWeb"/>
        <w:shd w:val="clear" w:color="auto" w:fill="FFFFFF"/>
        <w:spacing w:before="0" w:beforeAutospacing="0" w:after="0" w:afterAutospacing="0" w:line="276" w:lineRule="auto"/>
        <w:jc w:val="both"/>
        <w:rPr>
          <w:rFonts w:ascii="Garamond" w:hAnsi="Garamond"/>
          <w:sz w:val="23"/>
          <w:szCs w:val="23"/>
        </w:rPr>
      </w:pPr>
      <w:r w:rsidRPr="00E62C85">
        <w:rPr>
          <w:rFonts w:ascii="Garamond" w:hAnsi="Garamond"/>
          <w:sz w:val="23"/>
          <w:szCs w:val="23"/>
        </w:rPr>
        <w:t xml:space="preserve">Al comma 1 dell’art. 5-bis sono enumerate </w:t>
      </w:r>
      <w:proofErr w:type="gramStart"/>
      <w:r w:rsidRPr="00E62C85">
        <w:rPr>
          <w:rFonts w:ascii="Garamond" w:hAnsi="Garamond"/>
          <w:sz w:val="23"/>
          <w:szCs w:val="23"/>
        </w:rPr>
        <w:t>le esclusione</w:t>
      </w:r>
      <w:proofErr w:type="gramEnd"/>
      <w:r w:rsidRPr="00E62C85">
        <w:rPr>
          <w:rFonts w:ascii="Garamond" w:hAnsi="Garamond"/>
          <w:sz w:val="23"/>
          <w:szCs w:val="23"/>
        </w:rPr>
        <w:t xml:space="preserve"> “relative” al diritto di accesso generalizzato derivanti dalla tutela di “interessi pubblici”, ovvero riguardanti:</w:t>
      </w:r>
    </w:p>
    <w:p w14:paraId="297AB2FC" w14:textId="77777777" w:rsidR="00E62C85" w:rsidRPr="00E62C85" w:rsidRDefault="00E62C85" w:rsidP="00E62C85">
      <w:pPr>
        <w:numPr>
          <w:ilvl w:val="0"/>
          <w:numId w:val="36"/>
        </w:numPr>
        <w:shd w:val="clear" w:color="auto" w:fill="FFFFFF"/>
        <w:spacing w:after="0" w:line="276" w:lineRule="auto"/>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la sicurezza pubblica e l’ordine pubblico;</w:t>
      </w:r>
    </w:p>
    <w:p w14:paraId="6331255E" w14:textId="77777777" w:rsidR="00E62C85" w:rsidRPr="00E62C85" w:rsidRDefault="00E62C85" w:rsidP="00E62C85">
      <w:pPr>
        <w:numPr>
          <w:ilvl w:val="0"/>
          <w:numId w:val="36"/>
        </w:numPr>
        <w:shd w:val="clear" w:color="auto" w:fill="FFFFFF"/>
        <w:spacing w:after="0" w:line="276" w:lineRule="auto"/>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la sicurezza nazionale;</w:t>
      </w:r>
    </w:p>
    <w:p w14:paraId="6F736D59" w14:textId="77777777" w:rsidR="00E62C85" w:rsidRPr="00E62C85" w:rsidRDefault="00E62C85" w:rsidP="00E62C85">
      <w:pPr>
        <w:numPr>
          <w:ilvl w:val="0"/>
          <w:numId w:val="36"/>
        </w:numPr>
        <w:shd w:val="clear" w:color="auto" w:fill="FFFFFF"/>
        <w:spacing w:after="0" w:line="276" w:lineRule="auto"/>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la difesa e le questioni militari;</w:t>
      </w:r>
    </w:p>
    <w:p w14:paraId="3A36E63E" w14:textId="77777777" w:rsidR="00E62C85" w:rsidRPr="00E62C85" w:rsidRDefault="00E62C85" w:rsidP="00E62C85">
      <w:pPr>
        <w:numPr>
          <w:ilvl w:val="0"/>
          <w:numId w:val="36"/>
        </w:numPr>
        <w:shd w:val="clear" w:color="auto" w:fill="FFFFFF"/>
        <w:spacing w:after="0" w:line="276" w:lineRule="auto"/>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la politica e la stabilità economica e finanziaria dello Stato;</w:t>
      </w:r>
    </w:p>
    <w:p w14:paraId="672BBC8D" w14:textId="77777777" w:rsidR="00E62C85" w:rsidRPr="00E62C85" w:rsidRDefault="00E62C85" w:rsidP="00E62C85">
      <w:pPr>
        <w:numPr>
          <w:ilvl w:val="0"/>
          <w:numId w:val="36"/>
        </w:numPr>
        <w:shd w:val="clear" w:color="auto" w:fill="FFFFFF"/>
        <w:spacing w:after="0" w:line="276" w:lineRule="auto"/>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la conduzione di indagini su reati e il loro perseguimento;</w:t>
      </w:r>
    </w:p>
    <w:p w14:paraId="13ED59DF" w14:textId="77777777" w:rsidR="00E62C85" w:rsidRPr="00E62C85" w:rsidRDefault="00E62C85" w:rsidP="00E62C85">
      <w:pPr>
        <w:numPr>
          <w:ilvl w:val="0"/>
          <w:numId w:val="36"/>
        </w:numPr>
        <w:shd w:val="clear" w:color="auto" w:fill="FFFFFF"/>
        <w:spacing w:after="0" w:line="276" w:lineRule="auto"/>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il regolare svolgimento di attività ispettive.</w:t>
      </w:r>
    </w:p>
    <w:p w14:paraId="139D8207" w14:textId="77777777" w:rsidR="00E62C85" w:rsidRPr="00E62C85" w:rsidRDefault="00E62C85" w:rsidP="00E62C85">
      <w:pPr>
        <w:pStyle w:val="NormaleWeb"/>
        <w:shd w:val="clear" w:color="auto" w:fill="FFFFFF"/>
        <w:spacing w:before="0" w:beforeAutospacing="0" w:after="0" w:afterAutospacing="0"/>
        <w:jc w:val="both"/>
        <w:rPr>
          <w:rFonts w:ascii="Garamond" w:hAnsi="Garamond"/>
          <w:sz w:val="23"/>
          <w:szCs w:val="23"/>
        </w:rPr>
      </w:pPr>
    </w:p>
    <w:p w14:paraId="1C91FAFF" w14:textId="77777777" w:rsidR="00E62C85" w:rsidRPr="00E62C85" w:rsidRDefault="00E62C85" w:rsidP="00E62C85">
      <w:pPr>
        <w:pStyle w:val="NormaleWeb"/>
        <w:shd w:val="clear" w:color="auto" w:fill="FFFFFF"/>
        <w:spacing w:before="0" w:beforeAutospacing="0" w:after="0" w:afterAutospacing="0" w:line="276" w:lineRule="auto"/>
        <w:jc w:val="both"/>
        <w:rPr>
          <w:rFonts w:ascii="Garamond" w:hAnsi="Garamond"/>
          <w:sz w:val="23"/>
          <w:szCs w:val="23"/>
        </w:rPr>
      </w:pPr>
      <w:r w:rsidRPr="00E62C85">
        <w:rPr>
          <w:rFonts w:ascii="Garamond" w:hAnsi="Garamond"/>
          <w:sz w:val="23"/>
          <w:szCs w:val="23"/>
        </w:rPr>
        <w:t>Al comma 2 dell’art. 5-bis del Decreto trasparenza, invece, sono previsti i casi in cui l’accesso generalizzato è rifiutato se il diniego è necessario per evitare il pregiudizio concreto alla tutela dei seguenti “interessi privati”:</w:t>
      </w:r>
    </w:p>
    <w:p w14:paraId="2756C1CF" w14:textId="77777777" w:rsidR="00E62C85" w:rsidRPr="00E62C85" w:rsidRDefault="00E62C85" w:rsidP="00E62C85">
      <w:pPr>
        <w:numPr>
          <w:ilvl w:val="0"/>
          <w:numId w:val="37"/>
        </w:numPr>
        <w:shd w:val="clear" w:color="auto" w:fill="FFFFFF"/>
        <w:spacing w:after="0" w:line="276" w:lineRule="auto"/>
        <w:jc w:val="both"/>
        <w:rPr>
          <w:rFonts w:ascii="Garamond" w:eastAsia="Times New Roman" w:hAnsi="Garamond" w:cs="Times New Roman"/>
          <w:b/>
          <w:sz w:val="23"/>
          <w:szCs w:val="23"/>
          <w:lang w:eastAsia="it-IT"/>
        </w:rPr>
      </w:pPr>
      <w:r w:rsidRPr="00E62C85">
        <w:rPr>
          <w:rFonts w:ascii="Garamond" w:eastAsia="Times New Roman" w:hAnsi="Garamond" w:cs="Times New Roman"/>
          <w:b/>
          <w:sz w:val="23"/>
          <w:szCs w:val="23"/>
          <w:lang w:eastAsia="it-IT"/>
        </w:rPr>
        <w:t>la protezione dei dati personali;</w:t>
      </w:r>
    </w:p>
    <w:p w14:paraId="4655EC61" w14:textId="77777777" w:rsidR="00E62C85" w:rsidRPr="00E62C85" w:rsidRDefault="00E62C85" w:rsidP="00E62C85">
      <w:pPr>
        <w:numPr>
          <w:ilvl w:val="0"/>
          <w:numId w:val="37"/>
        </w:numPr>
        <w:shd w:val="clear" w:color="auto" w:fill="FFFFFF"/>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la libertà e la segretezza della corrispondenza;</w:t>
      </w:r>
    </w:p>
    <w:p w14:paraId="695A1855" w14:textId="77777777" w:rsidR="00E62C85" w:rsidRPr="00E62C85" w:rsidRDefault="00E62C85" w:rsidP="00E62C85">
      <w:pPr>
        <w:numPr>
          <w:ilvl w:val="0"/>
          <w:numId w:val="37"/>
        </w:numPr>
        <w:shd w:val="clear" w:color="auto" w:fill="FFFFFF"/>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gli interessi economici e commerciali, compresi la proprietà intellettuale, il diritto d’autore e i segreti commerciali.</w:t>
      </w:r>
    </w:p>
    <w:p w14:paraId="40645F94" w14:textId="77777777" w:rsidR="00E62C85" w:rsidRPr="00E62C85" w:rsidRDefault="00E62C85" w:rsidP="00E62C85">
      <w:pPr>
        <w:pStyle w:val="NormaleWeb"/>
        <w:shd w:val="clear" w:color="auto" w:fill="FFFFFF"/>
        <w:spacing w:before="0" w:beforeAutospacing="0" w:after="240" w:afterAutospacing="0"/>
        <w:jc w:val="both"/>
        <w:rPr>
          <w:rFonts w:ascii="Garamond" w:hAnsi="Garamond"/>
          <w:b/>
          <w:sz w:val="23"/>
          <w:szCs w:val="23"/>
        </w:rPr>
      </w:pPr>
    </w:p>
    <w:p w14:paraId="65B37D6A" w14:textId="77777777" w:rsidR="00E62C85" w:rsidRPr="00E62C85" w:rsidRDefault="00E62C85" w:rsidP="00E62C85">
      <w:pPr>
        <w:pStyle w:val="NormaleWeb"/>
        <w:shd w:val="clear" w:color="auto" w:fill="FFFFFF"/>
        <w:spacing w:before="0" w:beforeAutospacing="0" w:after="240" w:afterAutospacing="0"/>
        <w:jc w:val="both"/>
        <w:rPr>
          <w:rFonts w:ascii="Garamond" w:hAnsi="Garamond"/>
          <w:b/>
          <w:sz w:val="23"/>
          <w:szCs w:val="23"/>
        </w:rPr>
      </w:pPr>
      <w:r w:rsidRPr="00E62C85">
        <w:rPr>
          <w:rFonts w:ascii="Garamond" w:hAnsi="Garamond"/>
          <w:b/>
          <w:sz w:val="23"/>
          <w:szCs w:val="23"/>
        </w:rPr>
        <w:t>Accesso generalizzato e valutazione del pregiudizio alla protezione dei dati personali</w:t>
      </w:r>
    </w:p>
    <w:p w14:paraId="31DF44BE" w14:textId="77777777" w:rsidR="00E62C85" w:rsidRPr="00E62C85" w:rsidRDefault="00E62C85" w:rsidP="00E62C85">
      <w:pPr>
        <w:pStyle w:val="NormaleWeb"/>
        <w:shd w:val="clear" w:color="auto" w:fill="FFFFFF"/>
        <w:spacing w:before="0" w:beforeAutospacing="0" w:after="0" w:afterAutospacing="0" w:line="23" w:lineRule="atLeast"/>
        <w:jc w:val="both"/>
        <w:rPr>
          <w:rFonts w:ascii="Garamond" w:hAnsi="Garamond"/>
          <w:sz w:val="23"/>
          <w:szCs w:val="23"/>
        </w:rPr>
      </w:pPr>
      <w:r w:rsidRPr="00E62C85">
        <w:rPr>
          <w:rFonts w:ascii="Garamond" w:hAnsi="Garamond"/>
          <w:sz w:val="23"/>
          <w:szCs w:val="23"/>
        </w:rPr>
        <w:lastRenderedPageBreak/>
        <w:t>Il Decreto trasparenza, dunque, non si ferma solo agli interessi pubblici ma si occupa anche del pregiudizio che dall’accesso (civico) generalizzato possa derivare alla tutela di specifici interessi privati.</w:t>
      </w:r>
    </w:p>
    <w:p w14:paraId="5D5D02D1" w14:textId="77777777" w:rsidR="00E62C85" w:rsidRPr="00E62C85" w:rsidRDefault="00E62C85" w:rsidP="00E62C85">
      <w:pPr>
        <w:pStyle w:val="NormaleWeb"/>
        <w:shd w:val="clear" w:color="auto" w:fill="FFFFFF"/>
        <w:spacing w:before="0" w:beforeAutospacing="0" w:after="0" w:afterAutospacing="0" w:line="23" w:lineRule="atLeast"/>
        <w:jc w:val="both"/>
        <w:rPr>
          <w:rFonts w:ascii="Garamond" w:hAnsi="Garamond"/>
          <w:i/>
          <w:sz w:val="23"/>
          <w:szCs w:val="23"/>
        </w:rPr>
      </w:pPr>
      <w:r w:rsidRPr="00E62C85">
        <w:rPr>
          <w:rFonts w:ascii="Garamond" w:hAnsi="Garamond"/>
          <w:sz w:val="23"/>
          <w:szCs w:val="23"/>
        </w:rPr>
        <w:t xml:space="preserve">L’art. 5-bis, comma 2, </w:t>
      </w:r>
      <w:proofErr w:type="spellStart"/>
      <w:r w:rsidRPr="00E62C85">
        <w:rPr>
          <w:rFonts w:ascii="Garamond" w:hAnsi="Garamond"/>
          <w:sz w:val="23"/>
          <w:szCs w:val="23"/>
        </w:rPr>
        <w:t>lett</w:t>
      </w:r>
      <w:proofErr w:type="spellEnd"/>
      <w:r w:rsidRPr="00E62C85">
        <w:rPr>
          <w:rFonts w:ascii="Garamond" w:hAnsi="Garamond"/>
          <w:sz w:val="23"/>
          <w:szCs w:val="23"/>
        </w:rPr>
        <w:t xml:space="preserve">. a), del D.lgs. 33/2013 prevede che l’accesso generalizzato deve essere rifiutato laddove possa recare un pregiudizio concreto alla </w:t>
      </w:r>
      <w:r w:rsidRPr="00E62C85">
        <w:rPr>
          <w:rFonts w:ascii="Garamond" w:hAnsi="Garamond"/>
          <w:i/>
          <w:sz w:val="23"/>
          <w:szCs w:val="23"/>
        </w:rPr>
        <w:t>“protezione dei dati personali, in conformità con la disciplina legislativa in materia”.</w:t>
      </w:r>
    </w:p>
    <w:p w14:paraId="5441E4F1" w14:textId="77777777" w:rsidR="00E62C85" w:rsidRPr="00E62C85" w:rsidRDefault="00E62C85" w:rsidP="00E62C85">
      <w:pPr>
        <w:pStyle w:val="NormaleWeb"/>
        <w:shd w:val="clear" w:color="auto" w:fill="FFFFFF"/>
        <w:spacing w:before="0" w:beforeAutospacing="0" w:after="0" w:afterAutospacing="0" w:line="23" w:lineRule="atLeast"/>
        <w:jc w:val="both"/>
        <w:rPr>
          <w:rFonts w:ascii="Garamond" w:hAnsi="Garamond"/>
          <w:sz w:val="23"/>
          <w:szCs w:val="23"/>
        </w:rPr>
      </w:pPr>
      <w:r w:rsidRPr="00E62C85">
        <w:rPr>
          <w:rFonts w:ascii="Garamond" w:hAnsi="Garamond"/>
          <w:sz w:val="23"/>
          <w:szCs w:val="23"/>
        </w:rPr>
        <w:t>Sarà dunque compito dell’amministrazione pubblica verificare le esigenze di accesso rispetto al pregiudizio alla protezione dei dati personali che in concreto possa conseguire per gli interessati in caso di ammissione dell’istanza di accesso.</w:t>
      </w:r>
    </w:p>
    <w:p w14:paraId="7EF8C34B" w14:textId="77777777" w:rsidR="00E62C85" w:rsidRPr="00E62C85" w:rsidRDefault="00E62C85" w:rsidP="00E62C85">
      <w:pPr>
        <w:shd w:val="clear" w:color="auto" w:fill="FFFFFF"/>
        <w:spacing w:after="0" w:line="23" w:lineRule="atLeast"/>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Pertanto, di fronte ad un’istanza di accesso generalizzato avente ad oggetto dati e documenti contenenti informazioni personali, l’ente destinatario dell’istanza è tenuto a valutare se la conoscenza da parte di chiunque di dati e documenti richiesti possa arrecare un pregiudizio concreto all’interessato cui quei dati personali si riferiscono.</w:t>
      </w:r>
    </w:p>
    <w:p w14:paraId="28691AF8" w14:textId="77777777" w:rsidR="00E62C85" w:rsidRPr="00E62C85" w:rsidRDefault="00E62C85" w:rsidP="00E62C85">
      <w:pPr>
        <w:shd w:val="clear" w:color="auto" w:fill="FFFFFF"/>
        <w:spacing w:after="0" w:line="23" w:lineRule="atLeast"/>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La ritenuta sussistenza di tale pregiudizio comporta il rigetto dell’istanza, a meno che non si consideri di poterla accogliere, oscurando i dati personali eventualmente presenti e le altre informazioni che possono consentire l’identificazione, anche indiretta, dell’interessato.</w:t>
      </w:r>
    </w:p>
    <w:p w14:paraId="633C6659" w14:textId="77777777" w:rsidR="00E62C85" w:rsidRPr="00E62C85" w:rsidRDefault="00E62C85" w:rsidP="00E62C85">
      <w:pPr>
        <w:shd w:val="clear" w:color="auto" w:fill="FFFFFF"/>
        <w:spacing w:after="0" w:line="23" w:lineRule="atLeast"/>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Pertanto, accertata l’assenza delle eccezioni assolute, l’amministrazione è tenuta a valutare caso per caso se l’ostensione degli atti possa determinare un pregiudizio “concreto” e probabile agli interessi indicati dal legislatore.</w:t>
      </w:r>
    </w:p>
    <w:p w14:paraId="1F2F3E66" w14:textId="77777777" w:rsidR="00E62C85" w:rsidRPr="00E62C85" w:rsidRDefault="00E62C85" w:rsidP="00E62C85">
      <w:pPr>
        <w:shd w:val="clear" w:color="auto" w:fill="FFFFFF"/>
        <w:spacing w:after="0" w:line="23" w:lineRule="atLeast"/>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In tale situazione, devono essere tenute in considerazione le motivazioni addotte dal controinteressato che, ai sensi dell’art. 5, comma 5, del Decreto trasparenza, deve essere obbligatoriamente interpellato dall’ente destinatario della richiesta di accesso generalizzato.</w:t>
      </w:r>
    </w:p>
    <w:p w14:paraId="72798F44" w14:textId="77777777" w:rsidR="00E62C85" w:rsidRPr="00E62C85" w:rsidRDefault="00E62C85" w:rsidP="00E62C85">
      <w:pPr>
        <w:shd w:val="clear" w:color="auto" w:fill="FFFFFF"/>
        <w:spacing w:after="0" w:line="23" w:lineRule="atLeast"/>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Tali motivazioni forniscono delle indicazioni sulla sussistenza di un pregiudizio concreto, la cui valutazione tuttavia spetta sempre alla PA e va condotta anche in caso di silenzio del controinteressato.</w:t>
      </w:r>
    </w:p>
    <w:p w14:paraId="3C7A1718" w14:textId="77777777" w:rsidR="00E62C85" w:rsidRPr="00E62C85" w:rsidRDefault="00E62C85" w:rsidP="00E62C85">
      <w:pPr>
        <w:pStyle w:val="NormaleWeb"/>
        <w:shd w:val="clear" w:color="auto" w:fill="FFFFFF"/>
        <w:spacing w:before="0" w:beforeAutospacing="0" w:after="240" w:afterAutospacing="0" w:line="23" w:lineRule="atLeast"/>
        <w:jc w:val="both"/>
        <w:rPr>
          <w:rFonts w:ascii="Garamond" w:hAnsi="Garamond"/>
          <w:b/>
          <w:sz w:val="23"/>
          <w:szCs w:val="23"/>
        </w:rPr>
      </w:pPr>
    </w:p>
    <w:p w14:paraId="32D4C312" w14:textId="77777777" w:rsidR="00E62C85" w:rsidRPr="00E62C85" w:rsidRDefault="00E62C85" w:rsidP="00E62C85">
      <w:pPr>
        <w:pStyle w:val="NormaleWeb"/>
        <w:shd w:val="clear" w:color="auto" w:fill="FFFFFF"/>
        <w:spacing w:before="0" w:beforeAutospacing="0" w:after="240" w:afterAutospacing="0"/>
        <w:jc w:val="both"/>
        <w:rPr>
          <w:rFonts w:ascii="Garamond" w:hAnsi="Garamond"/>
          <w:b/>
          <w:sz w:val="23"/>
          <w:szCs w:val="23"/>
        </w:rPr>
      </w:pPr>
      <w:r w:rsidRPr="00E62C85">
        <w:rPr>
          <w:rFonts w:ascii="Garamond" w:hAnsi="Garamond"/>
          <w:b/>
          <w:sz w:val="23"/>
          <w:szCs w:val="23"/>
        </w:rPr>
        <w:t>Rispetto del GDPR</w:t>
      </w:r>
    </w:p>
    <w:p w14:paraId="274C4ABA" w14:textId="77777777" w:rsidR="00E62C85" w:rsidRPr="00E62C85" w:rsidRDefault="00E62C85" w:rsidP="00E62C85">
      <w:pPr>
        <w:pStyle w:val="NormaleWeb"/>
        <w:shd w:val="clear" w:color="auto" w:fill="FFFFFF"/>
        <w:spacing w:before="0" w:beforeAutospacing="0" w:after="0" w:afterAutospacing="0" w:line="23" w:lineRule="atLeast"/>
        <w:jc w:val="both"/>
        <w:rPr>
          <w:rFonts w:ascii="Garamond" w:hAnsi="Garamond"/>
          <w:sz w:val="23"/>
          <w:szCs w:val="23"/>
        </w:rPr>
      </w:pPr>
      <w:r w:rsidRPr="00E62C85">
        <w:rPr>
          <w:rFonts w:ascii="Garamond" w:hAnsi="Garamond"/>
          <w:sz w:val="23"/>
          <w:szCs w:val="23"/>
        </w:rPr>
        <w:t xml:space="preserve">Nella valutazione del pregiudizio concreto, in conformità con il Regolamento europeo (peraltro richiamato implicitamente dall’art. 5-bis, comma 2, </w:t>
      </w:r>
      <w:proofErr w:type="spellStart"/>
      <w:r w:rsidRPr="00E62C85">
        <w:rPr>
          <w:rFonts w:ascii="Garamond" w:hAnsi="Garamond"/>
          <w:sz w:val="23"/>
          <w:szCs w:val="23"/>
        </w:rPr>
        <w:t>lett</w:t>
      </w:r>
      <w:proofErr w:type="spellEnd"/>
      <w:r w:rsidRPr="00E62C85">
        <w:rPr>
          <w:rFonts w:ascii="Garamond" w:hAnsi="Garamond"/>
          <w:sz w:val="23"/>
          <w:szCs w:val="23"/>
        </w:rPr>
        <w:t xml:space="preserve">. a), del D.lgs. 33/2013) deve farsi riferimento ai “principi applicabili al trattamento” previsti dall’art. 5 del GDPR. In particolare, in ossequio al principio di “minimizzazione dei dati” di cui all’art. 5, par. 1, </w:t>
      </w:r>
      <w:proofErr w:type="spellStart"/>
      <w:r w:rsidRPr="00E62C85">
        <w:rPr>
          <w:rFonts w:ascii="Garamond" w:hAnsi="Garamond"/>
          <w:sz w:val="23"/>
          <w:szCs w:val="23"/>
        </w:rPr>
        <w:t>lett</w:t>
      </w:r>
      <w:proofErr w:type="spellEnd"/>
      <w:r w:rsidRPr="00E62C85">
        <w:rPr>
          <w:rFonts w:ascii="Garamond" w:hAnsi="Garamond"/>
          <w:sz w:val="23"/>
          <w:szCs w:val="23"/>
        </w:rPr>
        <w:t>. c), del GDPR la PA, nel dare riscontro alla richiesta di accesso generalizzato, deve scegliere le modalità meno pregiudizievoli per gli interessati: bisogna privilegiare l’ostensione di documenti con l’omissione dei dati personali in esso presenti, laddove l’esigenza informativa, alla base dell’accesso generalizzato, possa essere raggiunta senza implicare il trattamento dei dati personali.</w:t>
      </w:r>
    </w:p>
    <w:p w14:paraId="34DB9C76" w14:textId="77777777" w:rsidR="00E62C85" w:rsidRPr="00E62C85" w:rsidRDefault="00E62C85" w:rsidP="00E62C85">
      <w:pPr>
        <w:pStyle w:val="NormaleWeb"/>
        <w:shd w:val="clear" w:color="auto" w:fill="FFFFFF"/>
        <w:spacing w:before="0" w:beforeAutospacing="0" w:after="0" w:afterAutospacing="0" w:line="23" w:lineRule="atLeast"/>
        <w:jc w:val="both"/>
        <w:rPr>
          <w:rFonts w:ascii="Garamond" w:hAnsi="Garamond"/>
          <w:sz w:val="23"/>
          <w:szCs w:val="23"/>
        </w:rPr>
      </w:pPr>
      <w:r w:rsidRPr="00E62C85">
        <w:rPr>
          <w:rFonts w:ascii="Garamond" w:hAnsi="Garamond"/>
          <w:sz w:val="23"/>
          <w:szCs w:val="23"/>
        </w:rPr>
        <w:t>In tal modo, peraltro, si renderebbe più celere il procedimento in quanto è possibile accogliere l’istanza di accesso generalizzato senza dover attivare la procedura di coinvolgimento del soggetto “controinteressato” (art. 5, comma 5, del D.lgs. 33/2013).</w:t>
      </w:r>
    </w:p>
    <w:p w14:paraId="680E1B01" w14:textId="77777777" w:rsidR="00E62C85" w:rsidRPr="00E62C85" w:rsidRDefault="00E62C85" w:rsidP="00E62C85">
      <w:pPr>
        <w:pStyle w:val="NormaleWeb"/>
        <w:shd w:val="clear" w:color="auto" w:fill="FFFFFF"/>
        <w:spacing w:before="0" w:beforeAutospacing="0" w:after="0" w:afterAutospacing="0" w:line="23" w:lineRule="atLeast"/>
        <w:jc w:val="both"/>
        <w:rPr>
          <w:rFonts w:ascii="Garamond" w:hAnsi="Garamond"/>
          <w:sz w:val="23"/>
          <w:szCs w:val="23"/>
        </w:rPr>
      </w:pPr>
      <w:r w:rsidRPr="00E62C85">
        <w:rPr>
          <w:rFonts w:ascii="Garamond" w:hAnsi="Garamond"/>
          <w:sz w:val="23"/>
          <w:szCs w:val="23"/>
        </w:rPr>
        <w:t xml:space="preserve">Conseguentemente, quando l’oggetto della richiesta di accesso generalizzato riguarda dati o documenti contenenti anche dati personali non necessari (“sproporzionati, eccedenti e non pertinenti”) al raggiungimento dello </w:t>
      </w:r>
      <w:r w:rsidRPr="00E62C85">
        <w:rPr>
          <w:rFonts w:ascii="Garamond" w:hAnsi="Garamond"/>
          <w:i/>
          <w:sz w:val="23"/>
          <w:szCs w:val="23"/>
        </w:rPr>
        <w:t>“scopo di favorire forme diffuse di controllo sul perseguimento delle funzioni istituzionali e sull’utilizzo delle risorse pubbliche e di promuovere la partecipazione al dibattito pubblico”</w:t>
      </w:r>
      <w:r w:rsidRPr="00E62C85">
        <w:rPr>
          <w:rFonts w:ascii="Garamond" w:hAnsi="Garamond"/>
          <w:sz w:val="23"/>
          <w:szCs w:val="23"/>
        </w:rPr>
        <w:t xml:space="preserve"> (ex art. 5, comma 2, del D.lgs. 33/2013), l’ente destinatario della richiesta dovrà accordare il cosiddetto accesso parziale. Si tratta della tecnica dell’oscuramento dei dati personali presenti nei documenti, consentendo altresì </w:t>
      </w:r>
      <w:r w:rsidRPr="00E62C85">
        <w:rPr>
          <w:rFonts w:ascii="Garamond" w:hAnsi="Garamond"/>
          <w:i/>
          <w:sz w:val="23"/>
          <w:szCs w:val="23"/>
        </w:rPr>
        <w:t>“l’accesso agli altri dati e alle parti restanti”</w:t>
      </w:r>
      <w:r w:rsidRPr="00E62C85">
        <w:rPr>
          <w:rFonts w:ascii="Garamond" w:hAnsi="Garamond"/>
          <w:sz w:val="23"/>
          <w:szCs w:val="23"/>
        </w:rPr>
        <w:t xml:space="preserve"> (art. 5-bis, comma 4, Decreto trasparenza). Peraltro, tale strumento, potrà essere utilizzato dalla PA laddove si evidenzi un pregiudizio concreto in relazione al contesto temporale in cui viene formulata la domanda di accesso (generalizzato).</w:t>
      </w:r>
    </w:p>
    <w:p w14:paraId="002EE1CA" w14:textId="77777777" w:rsidR="00E62C85" w:rsidRPr="00E62C85" w:rsidRDefault="00E62C85" w:rsidP="00E62C85">
      <w:pPr>
        <w:pStyle w:val="NormaleWeb"/>
        <w:shd w:val="clear" w:color="auto" w:fill="FFFFFF"/>
        <w:spacing w:before="0" w:beforeAutospacing="0" w:after="0" w:afterAutospacing="0" w:line="23" w:lineRule="atLeast"/>
        <w:jc w:val="both"/>
        <w:rPr>
          <w:rFonts w:ascii="Garamond" w:hAnsi="Garamond"/>
          <w:sz w:val="23"/>
          <w:szCs w:val="23"/>
        </w:rPr>
      </w:pPr>
    </w:p>
    <w:p w14:paraId="2198AF7E" w14:textId="77777777" w:rsidR="00E62C85" w:rsidRPr="00E62C85" w:rsidRDefault="00E62C85" w:rsidP="00E62C85">
      <w:pPr>
        <w:pStyle w:val="NormaleWeb"/>
        <w:shd w:val="clear" w:color="auto" w:fill="FFFFFF"/>
        <w:spacing w:before="0" w:beforeAutospacing="0" w:after="240" w:afterAutospacing="0"/>
        <w:jc w:val="both"/>
        <w:rPr>
          <w:rFonts w:ascii="Garamond" w:hAnsi="Garamond"/>
          <w:b/>
          <w:sz w:val="23"/>
          <w:szCs w:val="23"/>
        </w:rPr>
      </w:pPr>
      <w:bookmarkStart w:id="87" w:name="_Toc43329249"/>
      <w:bookmarkStart w:id="88" w:name="_Toc44404308"/>
      <w:bookmarkStart w:id="89" w:name="_Toc101344218"/>
      <w:r w:rsidRPr="00E62C85">
        <w:rPr>
          <w:rFonts w:ascii="Garamond" w:hAnsi="Garamond"/>
          <w:b/>
          <w:sz w:val="23"/>
          <w:szCs w:val="23"/>
        </w:rPr>
        <w:t>Le Linee Guida del Garante per la Privacy (maggio 2014) e il Regolamento Generale sulla Protezione dei Dati (RGPD) 2016/679</w:t>
      </w:r>
      <w:bookmarkEnd w:id="87"/>
      <w:bookmarkEnd w:id="88"/>
      <w:bookmarkEnd w:id="89"/>
    </w:p>
    <w:p w14:paraId="79913596" w14:textId="77777777" w:rsidR="00E62C85" w:rsidRPr="00E62C85" w:rsidRDefault="00E62C85" w:rsidP="00E62C85">
      <w:pPr>
        <w:spacing w:after="0" w:line="276" w:lineRule="auto"/>
        <w:ind w:right="-1"/>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Altra attività nella quale si evidenzia la necessità del bilanciamento tra gli opposti interessi della trasparenza e della tutela dei dati personali, è quella relativa alla pubblicazione di dati ed informazioni nelle sezioni del sito istituzionale dell’Amministrazione.</w:t>
      </w:r>
    </w:p>
    <w:p w14:paraId="52C1A84A" w14:textId="77777777"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lastRenderedPageBreak/>
        <w:t xml:space="preserve">Il Garante della privacy è intervenuto nella materia con deliberazione 15 maggio 2014, n. 243,  con la quale l’Autorità ha approvato le </w:t>
      </w:r>
      <w:r w:rsidRPr="00E62C85">
        <w:rPr>
          <w:rFonts w:ascii="Garamond" w:eastAsia="Times New Roman" w:hAnsi="Garamond" w:cs="Times New Roman"/>
          <w:i/>
          <w:sz w:val="23"/>
          <w:szCs w:val="23"/>
          <w:lang w:eastAsia="it-IT"/>
        </w:rPr>
        <w:t>“Linee guida in materia di trattamento di dati personali, contenuti anche in atti e documenti amministrativi, effettuato per finalità di pubblicità e trasparenza sul web da soggetti pubblici e da altri enti obbligati”</w:t>
      </w:r>
      <w:r w:rsidRPr="00E62C85">
        <w:rPr>
          <w:rFonts w:ascii="Garamond" w:eastAsia="Times New Roman" w:hAnsi="Garamond" w:cs="Times New Roman"/>
          <w:sz w:val="23"/>
          <w:szCs w:val="23"/>
          <w:lang w:eastAsia="it-IT"/>
        </w:rPr>
        <w:t>, con lo scopo di definire un quadro unitario di misure e accorgimenti volti ad individuare opportune cautele che i soggetti pubblici e gli altri soggetti equiparati sono tenuti ad applicare nei casi in cui effettuano attività di diffusione di dati personali sui propri siti istituzionali per finalità di trasparenza o per altre finalità di pubblicità dell’azione amministrativa.</w:t>
      </w:r>
    </w:p>
    <w:p w14:paraId="6A61EED4" w14:textId="56AAF5DD" w:rsidR="00E62C85" w:rsidRPr="00E62C85" w:rsidRDefault="00E62C85" w:rsidP="00E62C85">
      <w:pPr>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Indipendentemente dalla finalità perseguita, dato che è necessario contemperare le esigenze di pubblicità e trasparenza con i diritti e le libertà fondamentali dell’interessato, ponendo particolare attenzione al diritto alla riservatezza e al diritto alla protezione dei dati personali, è lecito chiedersi quali dati sia possibile diffondere online e con quali limitazioni.</w:t>
      </w:r>
    </w:p>
    <w:p w14:paraId="4A1433F3" w14:textId="3DFF8852" w:rsidR="00E62C85" w:rsidRPr="00E62C85" w:rsidRDefault="00E62C85" w:rsidP="00E62C85">
      <w:pPr>
        <w:shd w:val="clear" w:color="auto" w:fill="FFFFFF"/>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La regola generale è indicata nell’art. 2-ter, comma 3, Codice Privacy, laddove è disposto che </w:t>
      </w:r>
      <w:r w:rsidRPr="00E62C85">
        <w:rPr>
          <w:rFonts w:ascii="Garamond" w:eastAsia="Times New Roman" w:hAnsi="Garamond" w:cs="Times New Roman"/>
          <w:i/>
          <w:sz w:val="23"/>
          <w:szCs w:val="23"/>
          <w:lang w:eastAsia="it-IT"/>
        </w:rPr>
        <w:t>“le Pubbliche Amministrazioni possono diffondere dati personali, trattati per l’esecuzione di un compito di interesse pubblico, solamente se ciò è consentito da una norma di legge o, nei casi previsti dalla legge, di regolamento, oppure da atti amministrativi generali”</w:t>
      </w:r>
      <w:r w:rsidRPr="00E62C85">
        <w:rPr>
          <w:rFonts w:ascii="Garamond" w:eastAsia="Times New Roman" w:hAnsi="Garamond" w:cs="Times New Roman"/>
          <w:sz w:val="23"/>
          <w:szCs w:val="23"/>
          <w:lang w:eastAsia="it-IT"/>
        </w:rPr>
        <w:t xml:space="preserve"> (novità introdotta dal DL n. 139/2021-art. 2-ter codice privacy).</w:t>
      </w:r>
    </w:p>
    <w:p w14:paraId="0419D190" w14:textId="78E0FCC5" w:rsidR="00E62C85" w:rsidRPr="00E62C85" w:rsidRDefault="00E62C85" w:rsidP="00E62C85">
      <w:pPr>
        <w:shd w:val="clear" w:color="auto" w:fill="FFFFFF"/>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Ne consegue che è possibile procedere alla pubblicazione di informazioni non richieste dal legislatore, solamente facendo ricorso agli strumenti dell’</w:t>
      </w:r>
      <w:proofErr w:type="spellStart"/>
      <w:r w:rsidRPr="00E62C85">
        <w:rPr>
          <w:rFonts w:ascii="Garamond" w:eastAsia="Times New Roman" w:hAnsi="Garamond" w:cs="Times New Roman"/>
          <w:sz w:val="23"/>
          <w:szCs w:val="23"/>
          <w:lang w:eastAsia="it-IT"/>
        </w:rPr>
        <w:t>anonimizzazione</w:t>
      </w:r>
      <w:proofErr w:type="spellEnd"/>
      <w:r w:rsidRPr="00E62C85">
        <w:rPr>
          <w:rFonts w:ascii="Garamond" w:eastAsia="Times New Roman" w:hAnsi="Garamond" w:cs="Times New Roman"/>
          <w:sz w:val="23"/>
          <w:szCs w:val="23"/>
          <w:lang w:eastAsia="it-IT"/>
        </w:rPr>
        <w:t xml:space="preserve"> o dell’oscuramento.</w:t>
      </w:r>
    </w:p>
    <w:p w14:paraId="6D894472" w14:textId="4A024810" w:rsidR="00E62C85" w:rsidRPr="00E62C85" w:rsidRDefault="00E62C85" w:rsidP="00E62C85">
      <w:pPr>
        <w:shd w:val="clear" w:color="auto" w:fill="FFFFFF"/>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Riscontrata l’esistenza di un obbligo normativo di pubblicazione, è necessario pertanto operare una selezione dei dati personali da richiedere od ottenuti, verificando, caso per caso, se ricorrono i presupposti per l’oscuramento di alcune informazioni.</w:t>
      </w:r>
    </w:p>
    <w:p w14:paraId="4613C007" w14:textId="754A58D4" w:rsidR="00E62C85" w:rsidRPr="00E62C85" w:rsidRDefault="00E62C85" w:rsidP="00E62C85">
      <w:pPr>
        <w:shd w:val="clear" w:color="auto" w:fill="FFFFFF"/>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Ciò in quanto, in base al principio di «minimizzazione dei dati» (art. 5, par.1, </w:t>
      </w:r>
      <w:proofErr w:type="spellStart"/>
      <w:r w:rsidRPr="00E62C85">
        <w:rPr>
          <w:rFonts w:ascii="Garamond" w:eastAsia="Times New Roman" w:hAnsi="Garamond" w:cs="Times New Roman"/>
          <w:sz w:val="23"/>
          <w:szCs w:val="23"/>
          <w:lang w:eastAsia="it-IT"/>
        </w:rPr>
        <w:t>lett</w:t>
      </w:r>
      <w:proofErr w:type="spellEnd"/>
      <w:r w:rsidRPr="00E62C85">
        <w:rPr>
          <w:rFonts w:ascii="Garamond" w:eastAsia="Times New Roman" w:hAnsi="Garamond" w:cs="Times New Roman"/>
          <w:sz w:val="23"/>
          <w:szCs w:val="23"/>
          <w:lang w:eastAsia="it-IT"/>
        </w:rPr>
        <w:t xml:space="preserve">. c) GDPR), i dati personali devono essere </w:t>
      </w:r>
      <w:r w:rsidRPr="00E62C85">
        <w:rPr>
          <w:rFonts w:ascii="Garamond" w:eastAsia="Times New Roman" w:hAnsi="Garamond" w:cs="Times New Roman"/>
          <w:i/>
          <w:sz w:val="23"/>
          <w:szCs w:val="23"/>
          <w:lang w:eastAsia="it-IT"/>
        </w:rPr>
        <w:t>“adeguati, pertinenti e limitati a quanto necessario rispetto alle finalità per le quali sono trattati”</w:t>
      </w:r>
    </w:p>
    <w:p w14:paraId="7EBA94B2" w14:textId="6446071D" w:rsidR="00E62C85" w:rsidRPr="00E62C85" w:rsidRDefault="00E62C85" w:rsidP="00E62C85">
      <w:pPr>
        <w:shd w:val="clear" w:color="auto" w:fill="FFFFFF"/>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Pertanto, anche in presenza degli obblighi di pubblicazione di atti o documenti demandati dal d.lgs. 33/2013, le Pubbliche Amministrazioni non possono, comunque, rendere noti </w:t>
      </w:r>
      <w:r w:rsidRPr="00E62C85">
        <w:rPr>
          <w:rFonts w:ascii="Garamond" w:eastAsia="Times New Roman" w:hAnsi="Garamond" w:cs="Times New Roman"/>
          <w:i/>
          <w:sz w:val="23"/>
          <w:szCs w:val="23"/>
          <w:lang w:eastAsia="it-IT"/>
        </w:rPr>
        <w:t>“i dati personali non pertinenti o, se sensibili o giudiziari, non indispensabili rispetto alle specifiche finalità di trasparenza della pubblicazione”</w:t>
      </w:r>
      <w:r w:rsidRPr="00E62C85">
        <w:rPr>
          <w:rFonts w:ascii="Garamond" w:eastAsia="Times New Roman" w:hAnsi="Garamond" w:cs="Times New Roman"/>
          <w:sz w:val="23"/>
          <w:szCs w:val="23"/>
          <w:lang w:eastAsia="it-IT"/>
        </w:rPr>
        <w:t xml:space="preserve"> (art.  7-bis, comma 4, d.lgs. 33/2013).</w:t>
      </w:r>
    </w:p>
    <w:p w14:paraId="56E76DCB" w14:textId="77777777" w:rsidR="00E62C85" w:rsidRPr="00E62C85" w:rsidRDefault="00E62C85" w:rsidP="00E62C85">
      <w:pPr>
        <w:spacing w:after="0" w:line="276" w:lineRule="auto"/>
        <w:jc w:val="both"/>
        <w:rPr>
          <w:rFonts w:ascii="Garamond" w:eastAsia="Calibri" w:hAnsi="Garamond" w:cs="Times New Roman"/>
          <w:b/>
          <w:sz w:val="23"/>
          <w:szCs w:val="23"/>
        </w:rPr>
      </w:pPr>
      <w:r w:rsidRPr="00E62C85">
        <w:rPr>
          <w:rFonts w:ascii="Garamond" w:eastAsia="Calibri" w:hAnsi="Garamond" w:cs="Times New Roman"/>
          <w:iCs/>
          <w:sz w:val="23"/>
          <w:szCs w:val="23"/>
        </w:rPr>
        <w:t>Il Regolamento generale sulla protezione dei dati</w:t>
      </w:r>
      <w:r w:rsidRPr="00E62C85">
        <w:rPr>
          <w:rFonts w:ascii="Garamond" w:eastAsia="Calibri" w:hAnsi="Garamond" w:cs="Times New Roman"/>
          <w:sz w:val="23"/>
          <w:szCs w:val="23"/>
        </w:rPr>
        <w:t xml:space="preserve"> (RGPD) 2016/679</w:t>
      </w:r>
      <w:r w:rsidRPr="00E62C85">
        <w:rPr>
          <w:rFonts w:ascii="Garamond" w:eastAsia="Calibri" w:hAnsi="Garamond" w:cs="Times New Roman"/>
          <w:b/>
          <w:sz w:val="23"/>
          <w:szCs w:val="23"/>
        </w:rPr>
        <w:t xml:space="preserve"> </w:t>
      </w:r>
      <w:r w:rsidRPr="00E62C85">
        <w:rPr>
          <w:rFonts w:ascii="Garamond" w:eastAsia="Calibri" w:hAnsi="Garamond" w:cs="Times New Roman"/>
          <w:sz w:val="23"/>
          <w:szCs w:val="23"/>
        </w:rPr>
        <w:t xml:space="preserve">del Parlamento e del Consiglio Europeo del 27 aprile 2016 </w:t>
      </w:r>
      <w:r w:rsidRPr="00E62C85">
        <w:rPr>
          <w:rFonts w:ascii="Garamond" w:eastAsia="Calibri" w:hAnsi="Garamond" w:cs="Times New Roman"/>
          <w:iCs/>
          <w:sz w:val="23"/>
          <w:szCs w:val="23"/>
        </w:rPr>
        <w:t>relativo alla tutela dei dati personali, in vigore dal</w:t>
      </w:r>
      <w:r w:rsidRPr="00E62C85">
        <w:rPr>
          <w:rFonts w:ascii="Garamond" w:eastAsia="Calibri" w:hAnsi="Garamond" w:cs="Times New Roman"/>
          <w:i/>
          <w:iCs/>
          <w:sz w:val="23"/>
          <w:szCs w:val="23"/>
        </w:rPr>
        <w:t xml:space="preserve"> </w:t>
      </w:r>
      <w:r w:rsidRPr="00E62C85">
        <w:rPr>
          <w:rFonts w:ascii="Garamond" w:eastAsia="Times New Roman" w:hAnsi="Garamond" w:cs="Times New Roman"/>
          <w:sz w:val="23"/>
          <w:szCs w:val="23"/>
          <w:lang w:eastAsia="it-IT"/>
        </w:rPr>
        <w:t xml:space="preserve">23 </w:t>
      </w:r>
      <w:r w:rsidRPr="00E62C85">
        <w:rPr>
          <w:rFonts w:ascii="Garamond" w:eastAsia="Calibri" w:hAnsi="Garamond" w:cs="Times New Roman"/>
          <w:sz w:val="23"/>
          <w:szCs w:val="23"/>
        </w:rPr>
        <w:t>maggio 2018</w:t>
      </w:r>
      <w:r w:rsidRPr="00E62C85">
        <w:rPr>
          <w:rFonts w:ascii="Garamond" w:eastAsia="Calibri" w:hAnsi="Garamond" w:cs="Times New Roman"/>
          <w:b/>
          <w:sz w:val="23"/>
          <w:szCs w:val="23"/>
        </w:rPr>
        <w:t xml:space="preserve"> </w:t>
      </w:r>
      <w:r w:rsidRPr="00E62C85">
        <w:rPr>
          <w:rFonts w:ascii="Garamond" w:eastAsia="Calibri" w:hAnsi="Garamond" w:cs="Times New Roman"/>
          <w:sz w:val="23"/>
          <w:szCs w:val="23"/>
        </w:rPr>
        <w:t>su tutto il territorio dell’Unione, e il decreto legislativo 10 agosto 2018, n. 101 di adeguamento del Codice italiano in materia di protezione dei dati personali, di cui al decreto legislativo 30 giugno 2003, n. 196, hanno rafforzato le norme per la protezione dei dati personali e introdotto nel nostro ordinamento nuove tutele per i cittadini e pesanti sanzioni per chi viola le regole</w:t>
      </w:r>
      <w:r w:rsidRPr="00E62C85">
        <w:rPr>
          <w:rFonts w:ascii="Garamond" w:eastAsia="Calibri" w:hAnsi="Garamond" w:cs="Times New Roman"/>
          <w:b/>
          <w:sz w:val="23"/>
          <w:szCs w:val="23"/>
        </w:rPr>
        <w:t>.</w:t>
      </w:r>
    </w:p>
    <w:p w14:paraId="076BEBC7" w14:textId="77777777" w:rsidR="00E62C85" w:rsidRPr="00E62C85" w:rsidRDefault="00E62C85" w:rsidP="00E62C85">
      <w:pPr>
        <w:shd w:val="clear" w:color="auto" w:fill="FFFFFF"/>
        <w:spacing w:after="0" w:line="276" w:lineRule="auto"/>
        <w:jc w:val="both"/>
        <w:rPr>
          <w:rFonts w:ascii="Garamond" w:eastAsia="Times New Roman" w:hAnsi="Garamond" w:cs="Times New Roman"/>
          <w:sz w:val="23"/>
          <w:szCs w:val="23"/>
          <w:lang w:eastAsia="it-IT"/>
        </w:rPr>
      </w:pPr>
      <w:proofErr w:type="gramStart"/>
      <w:r w:rsidRPr="00E62C85">
        <w:rPr>
          <w:rFonts w:ascii="Garamond" w:eastAsia="Times New Roman" w:hAnsi="Garamond" w:cs="Times New Roman"/>
          <w:sz w:val="23"/>
          <w:szCs w:val="23"/>
          <w:lang w:eastAsia="it-IT"/>
        </w:rPr>
        <w:t>E’</w:t>
      </w:r>
      <w:proofErr w:type="gramEnd"/>
      <w:r w:rsidRPr="00E62C85">
        <w:rPr>
          <w:rFonts w:ascii="Garamond" w:eastAsia="Times New Roman" w:hAnsi="Garamond" w:cs="Times New Roman"/>
          <w:sz w:val="23"/>
          <w:szCs w:val="23"/>
          <w:lang w:eastAsia="it-IT"/>
        </w:rPr>
        <w:t xml:space="preserve"> utile ricordare che sono </w:t>
      </w:r>
      <w:r w:rsidRPr="00E62C85">
        <w:rPr>
          <w:rFonts w:ascii="Garamond" w:eastAsia="Times New Roman" w:hAnsi="Garamond" w:cs="Times New Roman"/>
          <w:bCs/>
          <w:sz w:val="23"/>
          <w:szCs w:val="23"/>
          <w:lang w:eastAsia="it-IT"/>
        </w:rPr>
        <w:t>dati personali</w:t>
      </w:r>
      <w:r w:rsidRPr="00E62C85">
        <w:rPr>
          <w:rFonts w:ascii="Garamond" w:eastAsia="Times New Roman" w:hAnsi="Garamond" w:cs="Times New Roman"/>
          <w:sz w:val="23"/>
          <w:szCs w:val="23"/>
          <w:lang w:eastAsia="it-IT"/>
        </w:rPr>
        <w:t xml:space="preserve"> le informazioni che identificano o rendono identificabile, </w:t>
      </w:r>
      <w:r w:rsidRPr="00E62C85">
        <w:rPr>
          <w:rFonts w:ascii="Garamond" w:eastAsia="Times New Roman" w:hAnsi="Garamond" w:cs="Times New Roman"/>
          <w:bCs/>
          <w:sz w:val="23"/>
          <w:szCs w:val="23"/>
          <w:lang w:eastAsia="it-IT"/>
        </w:rPr>
        <w:t>direttamente o indirettamente</w:t>
      </w:r>
      <w:r w:rsidRPr="00E62C85">
        <w:rPr>
          <w:rFonts w:ascii="Garamond" w:eastAsia="Times New Roman" w:hAnsi="Garamond" w:cs="Times New Roman"/>
          <w:sz w:val="23"/>
          <w:szCs w:val="23"/>
          <w:lang w:eastAsia="it-IT"/>
        </w:rPr>
        <w:t>, una persona fisica e che possono fornire informazioni sulle sue caratteristiche, le sue abitudini, il suo stile di vita, le sue relazioni personali, il suo stato di salute, la sua situazione economica.</w:t>
      </w:r>
    </w:p>
    <w:p w14:paraId="5240DB67" w14:textId="77777777" w:rsidR="00E62C85" w:rsidRPr="00E62C85" w:rsidRDefault="00E62C85" w:rsidP="00E62C85">
      <w:pPr>
        <w:shd w:val="clear" w:color="auto" w:fill="FFFFFF"/>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Dati che ricorrono nell’ambito delle attività della PA sono ad esempio:</w:t>
      </w:r>
    </w:p>
    <w:p w14:paraId="1D2DDB68" w14:textId="77777777" w:rsidR="00E62C85" w:rsidRPr="00E62C85" w:rsidRDefault="00E62C85" w:rsidP="00E62C85">
      <w:pPr>
        <w:numPr>
          <w:ilvl w:val="1"/>
          <w:numId w:val="13"/>
        </w:numPr>
        <w:shd w:val="clear" w:color="auto" w:fill="FFFFFF"/>
        <w:spacing w:after="0" w:line="276" w:lineRule="auto"/>
        <w:ind w:left="567"/>
        <w:jc w:val="both"/>
        <w:rPr>
          <w:rFonts w:ascii="Garamond" w:eastAsia="Times New Roman" w:hAnsi="Garamond" w:cs="Times New Roman"/>
          <w:sz w:val="23"/>
          <w:szCs w:val="23"/>
          <w:lang w:eastAsia="it-IT"/>
        </w:rPr>
      </w:pPr>
      <w:r w:rsidRPr="00E62C85">
        <w:rPr>
          <w:rFonts w:ascii="Garamond" w:eastAsia="Times New Roman" w:hAnsi="Garamond" w:cs="Times New Roman"/>
          <w:bCs/>
          <w:sz w:val="23"/>
          <w:szCs w:val="23"/>
          <w:lang w:eastAsia="it-IT"/>
        </w:rPr>
        <w:t>i</w:t>
      </w:r>
      <w:r w:rsidRPr="00E62C85">
        <w:rPr>
          <w:rFonts w:ascii="Garamond" w:eastAsia="Times New Roman" w:hAnsi="Garamond" w:cs="Times New Roman"/>
          <w:sz w:val="23"/>
          <w:szCs w:val="23"/>
          <w:lang w:eastAsia="it-IT"/>
        </w:rPr>
        <w:t xml:space="preserve"> </w:t>
      </w:r>
      <w:r w:rsidRPr="00E62C85">
        <w:rPr>
          <w:rFonts w:ascii="Garamond" w:eastAsia="Times New Roman" w:hAnsi="Garamond" w:cs="Times New Roman"/>
          <w:bCs/>
          <w:sz w:val="23"/>
          <w:szCs w:val="23"/>
          <w:lang w:eastAsia="it-IT"/>
        </w:rPr>
        <w:t>dati che permettono l'identificazione diretta</w:t>
      </w:r>
      <w:r w:rsidRPr="00E62C85">
        <w:rPr>
          <w:rFonts w:ascii="Garamond" w:eastAsia="Times New Roman" w:hAnsi="Garamond" w:cs="Times New Roman"/>
          <w:sz w:val="23"/>
          <w:szCs w:val="23"/>
          <w:lang w:eastAsia="it-IT"/>
        </w:rPr>
        <w:t> - come i dati anagrafici, e i </w:t>
      </w:r>
      <w:r w:rsidRPr="00E62C85">
        <w:rPr>
          <w:rFonts w:ascii="Garamond" w:eastAsia="Times New Roman" w:hAnsi="Garamond" w:cs="Times New Roman"/>
          <w:bCs/>
          <w:sz w:val="23"/>
          <w:szCs w:val="23"/>
          <w:lang w:eastAsia="it-IT"/>
        </w:rPr>
        <w:t>dati che</w:t>
      </w:r>
      <w:r w:rsidRPr="00E62C85">
        <w:rPr>
          <w:rFonts w:ascii="Garamond" w:eastAsia="Times New Roman" w:hAnsi="Garamond" w:cs="Times New Roman"/>
          <w:sz w:val="23"/>
          <w:szCs w:val="23"/>
          <w:lang w:eastAsia="it-IT"/>
        </w:rPr>
        <w:t> </w:t>
      </w:r>
      <w:r w:rsidRPr="00E62C85">
        <w:rPr>
          <w:rFonts w:ascii="Garamond" w:eastAsia="Times New Roman" w:hAnsi="Garamond" w:cs="Times New Roman"/>
          <w:bCs/>
          <w:sz w:val="23"/>
          <w:szCs w:val="23"/>
          <w:lang w:eastAsia="it-IT"/>
        </w:rPr>
        <w:t>permettono l'identificazione indiretta</w:t>
      </w:r>
      <w:r w:rsidRPr="00E62C85">
        <w:rPr>
          <w:rFonts w:ascii="Garamond" w:eastAsia="Times New Roman" w:hAnsi="Garamond" w:cs="Times New Roman"/>
          <w:sz w:val="23"/>
          <w:szCs w:val="23"/>
          <w:lang w:eastAsia="it-IT"/>
        </w:rPr>
        <w:t>, come un numero di identificazione (ad esempio, il codice fiscale, l'indirizzo IP, il numero di targa);</w:t>
      </w:r>
    </w:p>
    <w:p w14:paraId="0346E839" w14:textId="77777777" w:rsidR="00E62C85" w:rsidRPr="00E62C85" w:rsidRDefault="00E62C85" w:rsidP="00E62C85">
      <w:pPr>
        <w:numPr>
          <w:ilvl w:val="1"/>
          <w:numId w:val="13"/>
        </w:numPr>
        <w:shd w:val="clear" w:color="auto" w:fill="FFFFFF"/>
        <w:spacing w:after="0" w:line="276" w:lineRule="auto"/>
        <w:ind w:left="567"/>
        <w:jc w:val="both"/>
        <w:rPr>
          <w:rFonts w:ascii="Garamond" w:eastAsia="Times New Roman" w:hAnsi="Garamond" w:cs="Times New Roman"/>
          <w:sz w:val="23"/>
          <w:szCs w:val="23"/>
          <w:lang w:eastAsia="it-IT"/>
        </w:rPr>
      </w:pPr>
      <w:r w:rsidRPr="00E62C85">
        <w:rPr>
          <w:rFonts w:ascii="Garamond" w:eastAsia="Times New Roman" w:hAnsi="Garamond" w:cs="Times New Roman"/>
          <w:bCs/>
          <w:sz w:val="23"/>
          <w:szCs w:val="23"/>
          <w:lang w:eastAsia="it-IT"/>
        </w:rPr>
        <w:t>i dati relativi a condanne penali e reati</w:t>
      </w:r>
      <w:r w:rsidRPr="00E62C85">
        <w:rPr>
          <w:rFonts w:ascii="Garamond" w:eastAsia="Times New Roman" w:hAnsi="Garamond" w:cs="Times New Roman"/>
          <w:sz w:val="23"/>
          <w:szCs w:val="23"/>
          <w:lang w:eastAsia="it-IT"/>
        </w:rPr>
        <w:t>: si tratta dei dati c.d. </w:t>
      </w:r>
      <w:r w:rsidRPr="00E62C85">
        <w:rPr>
          <w:rFonts w:ascii="Garamond" w:eastAsia="Times New Roman" w:hAnsi="Garamond" w:cs="Times New Roman"/>
          <w:i/>
          <w:iCs/>
          <w:sz w:val="23"/>
          <w:szCs w:val="23"/>
          <w:lang w:eastAsia="it-IT"/>
        </w:rPr>
        <w:t>"giudiziari"</w:t>
      </w:r>
      <w:r w:rsidRPr="00E62C85">
        <w:rPr>
          <w:rFonts w:ascii="Garamond" w:eastAsia="Times New Roman" w:hAnsi="Garamond" w:cs="Times New Roman"/>
          <w:sz w:val="23"/>
          <w:szCs w:val="23"/>
          <w:lang w:eastAsia="it-IT"/>
        </w:rPr>
        <w:t>, cioè quelli che possono rivelare l'esistenza di determinati provvedimenti giudiziari soggetti ad iscrizione nel casellario giudiziale (ad esempio, i provvedimenti penali di condanna definitivi, la liberazione condizionale, il divieto od obbligo di soggiorno, le misure alternative alla detenzione) o la qualità di imputato o di indagato. Il </w:t>
      </w:r>
      <w:hyperlink r:id="rId15" w:history="1">
        <w:r w:rsidRPr="00E62C85">
          <w:rPr>
            <w:rFonts w:ascii="Garamond" w:eastAsia="Times New Roman" w:hAnsi="Garamond" w:cs="Times New Roman"/>
            <w:bCs/>
            <w:sz w:val="23"/>
            <w:szCs w:val="23"/>
            <w:lang w:eastAsia="it-IT"/>
          </w:rPr>
          <w:t>Regolamento (UE) 2016/679</w:t>
        </w:r>
      </w:hyperlink>
      <w:r w:rsidRPr="00E62C85">
        <w:rPr>
          <w:rFonts w:ascii="Garamond" w:eastAsia="Times New Roman" w:hAnsi="Garamond" w:cs="Times New Roman"/>
          <w:sz w:val="23"/>
          <w:szCs w:val="23"/>
          <w:lang w:eastAsia="it-IT"/>
        </w:rPr>
        <w:t> (art. 10) ricomprende in tale nozione i dati relativi alle condanne penali ed ai reati o a connesse misure di sicurezza.</w:t>
      </w:r>
    </w:p>
    <w:p w14:paraId="5247721A" w14:textId="77777777" w:rsidR="00E62C85" w:rsidRPr="00E62C85" w:rsidRDefault="00E62C85" w:rsidP="00E62C85">
      <w:pPr>
        <w:numPr>
          <w:ilvl w:val="1"/>
          <w:numId w:val="13"/>
        </w:numPr>
        <w:shd w:val="clear" w:color="auto" w:fill="FFFFFF"/>
        <w:spacing w:after="0" w:line="276" w:lineRule="auto"/>
        <w:ind w:left="567"/>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i </w:t>
      </w:r>
      <w:r w:rsidRPr="00E62C85">
        <w:rPr>
          <w:rFonts w:ascii="Garamond" w:eastAsia="Times New Roman" w:hAnsi="Garamond" w:cs="Times New Roman"/>
          <w:bCs/>
          <w:sz w:val="23"/>
          <w:szCs w:val="23"/>
          <w:lang w:eastAsia="it-IT"/>
        </w:rPr>
        <w:t>dati rientranti in particolari categorie</w:t>
      </w:r>
      <w:r w:rsidRPr="00E62C85">
        <w:rPr>
          <w:rFonts w:ascii="Garamond" w:eastAsia="Times New Roman" w:hAnsi="Garamond" w:cs="Times New Roman"/>
          <w:sz w:val="23"/>
          <w:szCs w:val="23"/>
          <w:lang w:eastAsia="it-IT"/>
        </w:rPr>
        <w:t xml:space="preserve">: cioè quelli che rivelano l'origine razziale od etnica, le convinzioni religiose, filosofiche, le opinioni politiche, l'appartenenza sindacale, relativi alla salute o alla vita </w:t>
      </w:r>
      <w:r w:rsidRPr="00E62C85">
        <w:rPr>
          <w:rFonts w:ascii="Garamond" w:eastAsia="Times New Roman" w:hAnsi="Garamond" w:cs="Times New Roman"/>
          <w:sz w:val="23"/>
          <w:szCs w:val="23"/>
          <w:lang w:eastAsia="it-IT"/>
        </w:rPr>
        <w:lastRenderedPageBreak/>
        <w:t>sessuale. Il </w:t>
      </w:r>
      <w:hyperlink r:id="rId16" w:history="1">
        <w:r w:rsidRPr="00E62C85">
          <w:rPr>
            <w:rFonts w:ascii="Garamond" w:eastAsia="Times New Roman" w:hAnsi="Garamond" w:cs="Times New Roman"/>
            <w:bCs/>
            <w:sz w:val="23"/>
            <w:szCs w:val="23"/>
            <w:lang w:eastAsia="it-IT"/>
          </w:rPr>
          <w:t>Regolamento (UE) 2016/679</w:t>
        </w:r>
      </w:hyperlink>
      <w:r w:rsidRPr="00E62C85">
        <w:rPr>
          <w:rFonts w:ascii="Garamond" w:eastAsia="Times New Roman" w:hAnsi="Garamond" w:cs="Times New Roman"/>
          <w:sz w:val="23"/>
          <w:szCs w:val="23"/>
          <w:lang w:eastAsia="it-IT"/>
        </w:rPr>
        <w:t> (articolo 9) ha incluso nella nozione anche i </w:t>
      </w:r>
      <w:r w:rsidRPr="00E62C85">
        <w:rPr>
          <w:rFonts w:ascii="Garamond" w:eastAsia="Times New Roman" w:hAnsi="Garamond" w:cs="Times New Roman"/>
          <w:bCs/>
          <w:sz w:val="23"/>
          <w:szCs w:val="23"/>
          <w:lang w:eastAsia="it-IT"/>
        </w:rPr>
        <w:t>dati genetici, </w:t>
      </w:r>
      <w:r w:rsidRPr="00E62C85">
        <w:rPr>
          <w:rFonts w:ascii="Garamond" w:eastAsia="Times New Roman" w:hAnsi="Garamond" w:cs="Times New Roman"/>
          <w:sz w:val="23"/>
          <w:szCs w:val="23"/>
          <w:lang w:eastAsia="it-IT"/>
        </w:rPr>
        <w:t>i </w:t>
      </w:r>
      <w:r w:rsidRPr="00E62C85">
        <w:rPr>
          <w:rFonts w:ascii="Garamond" w:eastAsia="Times New Roman" w:hAnsi="Garamond" w:cs="Times New Roman"/>
          <w:bCs/>
          <w:sz w:val="23"/>
          <w:szCs w:val="23"/>
          <w:lang w:eastAsia="it-IT"/>
        </w:rPr>
        <w:t>dati biometrici</w:t>
      </w:r>
      <w:r w:rsidRPr="00E62C85">
        <w:rPr>
          <w:rFonts w:ascii="Garamond" w:eastAsia="Times New Roman" w:hAnsi="Garamond" w:cs="Times New Roman"/>
          <w:sz w:val="23"/>
          <w:szCs w:val="23"/>
          <w:lang w:eastAsia="it-IT"/>
        </w:rPr>
        <w:t> e quelli relativi all'</w:t>
      </w:r>
      <w:r w:rsidRPr="00E62C85">
        <w:rPr>
          <w:rFonts w:ascii="Garamond" w:eastAsia="Times New Roman" w:hAnsi="Garamond" w:cs="Times New Roman"/>
          <w:bCs/>
          <w:sz w:val="23"/>
          <w:szCs w:val="23"/>
          <w:lang w:eastAsia="it-IT"/>
        </w:rPr>
        <w:t>orientamento sessuale</w:t>
      </w:r>
      <w:r w:rsidRPr="00E62C85">
        <w:rPr>
          <w:rFonts w:ascii="Garamond" w:eastAsia="Times New Roman" w:hAnsi="Garamond" w:cs="Times New Roman"/>
          <w:sz w:val="23"/>
          <w:szCs w:val="23"/>
          <w:lang w:eastAsia="it-IT"/>
        </w:rPr>
        <w:t>.</w:t>
      </w:r>
    </w:p>
    <w:p w14:paraId="19F12D69" w14:textId="77777777" w:rsidR="00E62C85" w:rsidRPr="00E62C85" w:rsidRDefault="00E62C85" w:rsidP="00E62C85">
      <w:pPr>
        <w:shd w:val="clear" w:color="auto" w:fill="FFFFFF"/>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Anche il </w:t>
      </w:r>
      <w:proofErr w:type="spellStart"/>
      <w:proofErr w:type="gramStart"/>
      <w:r w:rsidRPr="00E62C85">
        <w:rPr>
          <w:rFonts w:ascii="Garamond" w:eastAsia="Times New Roman" w:hAnsi="Garamond" w:cs="Times New Roman"/>
          <w:sz w:val="23"/>
          <w:szCs w:val="23"/>
          <w:lang w:eastAsia="it-IT"/>
        </w:rPr>
        <w:t>D.Lgs</w:t>
      </w:r>
      <w:proofErr w:type="gramEnd"/>
      <w:r w:rsidRPr="00E62C85">
        <w:rPr>
          <w:rFonts w:ascii="Garamond" w:eastAsia="Times New Roman" w:hAnsi="Garamond" w:cs="Times New Roman"/>
          <w:sz w:val="23"/>
          <w:szCs w:val="23"/>
          <w:lang w:eastAsia="it-IT"/>
        </w:rPr>
        <w:t>.</w:t>
      </w:r>
      <w:proofErr w:type="spellEnd"/>
      <w:r w:rsidRPr="00E62C85">
        <w:rPr>
          <w:rFonts w:ascii="Garamond" w:eastAsia="Times New Roman" w:hAnsi="Garamond" w:cs="Times New Roman"/>
          <w:sz w:val="23"/>
          <w:szCs w:val="23"/>
          <w:lang w:eastAsia="it-IT"/>
        </w:rPr>
        <w:t xml:space="preserve"> 196/2003 emendato dal </w:t>
      </w:r>
      <w:proofErr w:type="spellStart"/>
      <w:proofErr w:type="gramStart"/>
      <w:r w:rsidRPr="00E62C85">
        <w:rPr>
          <w:rFonts w:ascii="Garamond" w:eastAsia="Times New Roman" w:hAnsi="Garamond" w:cs="Times New Roman"/>
          <w:sz w:val="23"/>
          <w:szCs w:val="23"/>
          <w:lang w:eastAsia="it-IT"/>
        </w:rPr>
        <w:t>D.Lgs</w:t>
      </w:r>
      <w:proofErr w:type="gramEnd"/>
      <w:r w:rsidRPr="00E62C85">
        <w:rPr>
          <w:rFonts w:ascii="Garamond" w:eastAsia="Times New Roman" w:hAnsi="Garamond" w:cs="Times New Roman"/>
          <w:sz w:val="23"/>
          <w:szCs w:val="23"/>
          <w:lang w:eastAsia="it-IT"/>
        </w:rPr>
        <w:t>.</w:t>
      </w:r>
      <w:proofErr w:type="spellEnd"/>
      <w:r w:rsidRPr="00E62C85">
        <w:rPr>
          <w:rFonts w:ascii="Garamond" w:eastAsia="Times New Roman" w:hAnsi="Garamond" w:cs="Times New Roman"/>
          <w:sz w:val="23"/>
          <w:szCs w:val="23"/>
          <w:lang w:eastAsia="it-IT"/>
        </w:rPr>
        <w:t xml:space="preserve"> 101/2018 (Codice Privacy)</w:t>
      </w:r>
      <w:r w:rsidRPr="00E62C85">
        <w:rPr>
          <w:rFonts w:ascii="Garamond" w:eastAsia="Times New Roman" w:hAnsi="Garamond" w:cs="Times New Roman"/>
          <w:b/>
          <w:sz w:val="23"/>
          <w:szCs w:val="23"/>
          <w:lang w:eastAsia="it-IT"/>
        </w:rPr>
        <w:t xml:space="preserve"> </w:t>
      </w:r>
      <w:r w:rsidRPr="00E62C85">
        <w:rPr>
          <w:rFonts w:ascii="Garamond" w:eastAsia="Times New Roman" w:hAnsi="Garamond" w:cs="Times New Roman"/>
          <w:sz w:val="23"/>
          <w:szCs w:val="23"/>
          <w:lang w:eastAsia="it-IT"/>
        </w:rPr>
        <w:t>ribadisce che i dati genetici, biometrici e relativi alla salute non possono essere diffusi.</w:t>
      </w:r>
    </w:p>
    <w:p w14:paraId="5467D715" w14:textId="77777777" w:rsidR="00E62C85" w:rsidRPr="00E62C85" w:rsidRDefault="00E62C85" w:rsidP="00E62C85">
      <w:pPr>
        <w:shd w:val="clear" w:color="auto" w:fill="FFFFFF"/>
        <w:tabs>
          <w:tab w:val="left" w:pos="1276"/>
        </w:tabs>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Per comprendere se un dato personale appartiene ad una delle categorie particolari la cui diffusione è esclusa, occorre porlo in relazione con le altre informazioni contenute nell’atto nel quale il dato è inserito. A titolo esemplificativo, il nome e il cognome della persona fisica alla quale viene erogato un contributo costituiscono dati personali, ma ove il contributo venga erogato in ragione del particolare stato di salute della persona, il dato personale, in combinato disposto con la motivazione dell’atto, diventa idoneo a rivelare lo stato di salute.</w:t>
      </w:r>
    </w:p>
    <w:p w14:paraId="2EB3147A" w14:textId="77777777" w:rsidR="00E62C85" w:rsidRPr="00E62C85" w:rsidRDefault="00E62C85" w:rsidP="00E62C85">
      <w:pPr>
        <w:autoSpaceDE w:val="0"/>
        <w:autoSpaceDN w:val="0"/>
        <w:adjustRightInd w:val="0"/>
        <w:spacing w:after="0" w:line="276" w:lineRule="auto"/>
        <w:jc w:val="both"/>
        <w:rPr>
          <w:rFonts w:ascii="Garamond" w:eastAsia="Calibri" w:hAnsi="Garamond" w:cs="Times New Roman"/>
          <w:b/>
          <w:sz w:val="23"/>
          <w:szCs w:val="23"/>
        </w:rPr>
      </w:pPr>
      <w:r w:rsidRPr="00E62C85">
        <w:rPr>
          <w:rFonts w:ascii="Garamond" w:eastAsia="Calibri" w:hAnsi="Garamond" w:cs="Times New Roman"/>
          <w:sz w:val="23"/>
          <w:szCs w:val="23"/>
        </w:rPr>
        <w:t xml:space="preserve">In merito al rapporto tra pubblicazione delle informazioni e privacy, occorre evidenziare che le disposizioni di cui all’art. 8 del Decreto trasparenza sulla decorrenza e la durata dell’obbligo di pubblicazione, sono state introdotte dal </w:t>
      </w:r>
      <w:proofErr w:type="spellStart"/>
      <w:proofErr w:type="gramStart"/>
      <w:r w:rsidRPr="00E62C85">
        <w:rPr>
          <w:rFonts w:ascii="Garamond" w:eastAsia="Calibri" w:hAnsi="Garamond" w:cs="Times New Roman"/>
          <w:sz w:val="23"/>
          <w:szCs w:val="23"/>
        </w:rPr>
        <w:t>D.Lgs</w:t>
      </w:r>
      <w:proofErr w:type="gramEnd"/>
      <w:r w:rsidRPr="00E62C85">
        <w:rPr>
          <w:rFonts w:ascii="Garamond" w:eastAsia="Calibri" w:hAnsi="Garamond" w:cs="Times New Roman"/>
          <w:sz w:val="23"/>
          <w:szCs w:val="23"/>
        </w:rPr>
        <w:t>.</w:t>
      </w:r>
      <w:proofErr w:type="spellEnd"/>
      <w:r w:rsidRPr="00E62C85">
        <w:rPr>
          <w:rFonts w:ascii="Garamond" w:eastAsia="Calibri" w:hAnsi="Garamond" w:cs="Times New Roman"/>
          <w:sz w:val="23"/>
          <w:szCs w:val="23"/>
        </w:rPr>
        <w:t xml:space="preserve"> 97/2016 a maggior tutela del c.d. </w:t>
      </w:r>
      <w:r w:rsidRPr="00E62C85">
        <w:rPr>
          <w:rFonts w:ascii="Garamond" w:eastAsia="Calibri" w:hAnsi="Garamond" w:cs="Times New Roman"/>
          <w:i/>
          <w:sz w:val="23"/>
          <w:szCs w:val="23"/>
        </w:rPr>
        <w:t xml:space="preserve">diritto all’oblio </w:t>
      </w:r>
      <w:r w:rsidRPr="00E62C85">
        <w:rPr>
          <w:rFonts w:ascii="Garamond" w:eastAsia="Calibri" w:hAnsi="Garamond" w:cs="Times New Roman"/>
          <w:sz w:val="23"/>
          <w:szCs w:val="23"/>
        </w:rPr>
        <w:t xml:space="preserve">(si veda anche art. 17 del Reg Ue 679/2016). </w:t>
      </w:r>
    </w:p>
    <w:p w14:paraId="2725499D" w14:textId="77777777" w:rsidR="00E62C85" w:rsidRPr="00E62C85" w:rsidRDefault="00E62C85" w:rsidP="00E62C85">
      <w:pPr>
        <w:autoSpaceDE w:val="0"/>
        <w:autoSpaceDN w:val="0"/>
        <w:adjustRightInd w:val="0"/>
        <w:spacing w:after="0" w:line="276" w:lineRule="auto"/>
        <w:jc w:val="both"/>
        <w:rPr>
          <w:rFonts w:ascii="Garamond" w:eastAsia="Calibri" w:hAnsi="Garamond" w:cs="Times New Roman"/>
          <w:sz w:val="23"/>
          <w:szCs w:val="23"/>
        </w:rPr>
      </w:pPr>
      <w:r w:rsidRPr="00E62C85">
        <w:rPr>
          <w:rFonts w:ascii="Garamond" w:eastAsia="Calibri" w:hAnsi="Garamond" w:cs="Times New Roman"/>
          <w:sz w:val="23"/>
          <w:szCs w:val="23"/>
        </w:rPr>
        <w:t xml:space="preserve">In precedenza, infatti, i dati pubblicati non venivano rimossi ma trasferiti nelle </w:t>
      </w:r>
      <w:r w:rsidRPr="00E62C85">
        <w:rPr>
          <w:rFonts w:ascii="Garamond" w:eastAsia="Calibri" w:hAnsi="Garamond" w:cs="Times New Roman"/>
          <w:i/>
          <w:sz w:val="23"/>
          <w:szCs w:val="23"/>
        </w:rPr>
        <w:t>sezioni archivio</w:t>
      </w:r>
      <w:r w:rsidRPr="00E62C85">
        <w:rPr>
          <w:rFonts w:ascii="Garamond" w:eastAsia="Calibri" w:hAnsi="Garamond" w:cs="Times New Roman"/>
          <w:sz w:val="23"/>
          <w:szCs w:val="23"/>
        </w:rPr>
        <w:t xml:space="preserve"> di Amministrazione Trasparente che sono state abrogate proprio dalle nuove disposizioni introdotte nel 2016 dal citato decreto legislativo n. 97.</w:t>
      </w:r>
    </w:p>
    <w:p w14:paraId="5C85D5D7" w14:textId="77777777" w:rsidR="00E62C85" w:rsidRPr="00E62C85" w:rsidRDefault="00E62C85" w:rsidP="00E62C85">
      <w:pPr>
        <w:autoSpaceDE w:val="0"/>
        <w:autoSpaceDN w:val="0"/>
        <w:adjustRightInd w:val="0"/>
        <w:spacing w:after="0" w:line="276" w:lineRule="auto"/>
        <w:jc w:val="both"/>
        <w:rPr>
          <w:rFonts w:ascii="Garamond" w:eastAsia="Calibri" w:hAnsi="Garamond" w:cs="Times New Roman"/>
          <w:sz w:val="23"/>
          <w:szCs w:val="23"/>
        </w:rPr>
      </w:pPr>
      <w:r w:rsidRPr="00E62C85">
        <w:rPr>
          <w:rFonts w:ascii="Garamond" w:eastAsia="Calibri" w:hAnsi="Garamond" w:cs="Times New Roman"/>
          <w:sz w:val="23"/>
          <w:szCs w:val="23"/>
        </w:rPr>
        <w:t xml:space="preserve">Le Linee Guida del Garante della Privacy n. 243 del 15/5/2014, che restano pienamente valide anche dopo l’entrata in vigore del Regolamento UE 2016/679 e del D. </w:t>
      </w:r>
      <w:proofErr w:type="spellStart"/>
      <w:r w:rsidRPr="00E62C85">
        <w:rPr>
          <w:rFonts w:ascii="Garamond" w:eastAsia="Calibri" w:hAnsi="Garamond" w:cs="Times New Roman"/>
          <w:sz w:val="23"/>
          <w:szCs w:val="23"/>
        </w:rPr>
        <w:t>Lgs</w:t>
      </w:r>
      <w:proofErr w:type="spellEnd"/>
      <w:r w:rsidRPr="00E62C85">
        <w:rPr>
          <w:rFonts w:ascii="Garamond" w:eastAsia="Calibri" w:hAnsi="Garamond" w:cs="Times New Roman"/>
          <w:sz w:val="23"/>
          <w:szCs w:val="23"/>
        </w:rPr>
        <w:t xml:space="preserve">. 101/2018 (di modifica del </w:t>
      </w:r>
      <w:proofErr w:type="spellStart"/>
      <w:proofErr w:type="gramStart"/>
      <w:r w:rsidRPr="00E62C85">
        <w:rPr>
          <w:rFonts w:ascii="Garamond" w:eastAsia="Calibri" w:hAnsi="Garamond" w:cs="Times New Roman"/>
          <w:sz w:val="23"/>
          <w:szCs w:val="23"/>
        </w:rPr>
        <w:t>D.Lgs</w:t>
      </w:r>
      <w:proofErr w:type="gramEnd"/>
      <w:r w:rsidRPr="00E62C85">
        <w:rPr>
          <w:rFonts w:ascii="Garamond" w:eastAsia="Calibri" w:hAnsi="Garamond" w:cs="Times New Roman"/>
          <w:sz w:val="23"/>
          <w:szCs w:val="23"/>
        </w:rPr>
        <w:t>.</w:t>
      </w:r>
      <w:proofErr w:type="spellEnd"/>
      <w:r w:rsidRPr="00E62C85">
        <w:rPr>
          <w:rFonts w:ascii="Garamond" w:eastAsia="Calibri" w:hAnsi="Garamond" w:cs="Times New Roman"/>
          <w:sz w:val="23"/>
          <w:szCs w:val="23"/>
        </w:rPr>
        <w:t xml:space="preserve"> 196/2003) pongono anche una serie di limiti al riutilizzo dei dati.</w:t>
      </w:r>
    </w:p>
    <w:p w14:paraId="15696FBA" w14:textId="77777777" w:rsidR="00E62C85" w:rsidRPr="00E62C85" w:rsidRDefault="00E62C85" w:rsidP="00E62C85">
      <w:pPr>
        <w:autoSpaceDE w:val="0"/>
        <w:autoSpaceDN w:val="0"/>
        <w:adjustRightInd w:val="0"/>
        <w:spacing w:after="0" w:line="276" w:lineRule="auto"/>
        <w:jc w:val="both"/>
        <w:rPr>
          <w:rFonts w:ascii="Garamond" w:eastAsia="Calibri" w:hAnsi="Garamond" w:cs="Times New Roman"/>
          <w:sz w:val="23"/>
          <w:szCs w:val="23"/>
        </w:rPr>
      </w:pPr>
      <w:r w:rsidRPr="00E62C85">
        <w:rPr>
          <w:rFonts w:ascii="Garamond" w:eastAsia="Calibri" w:hAnsi="Garamond" w:cs="Times New Roman"/>
          <w:sz w:val="23"/>
          <w:szCs w:val="23"/>
        </w:rPr>
        <w:t xml:space="preserve">Infatti gli artt. 7 e 7-bis del d. </w:t>
      </w:r>
      <w:proofErr w:type="spellStart"/>
      <w:r w:rsidRPr="00E62C85">
        <w:rPr>
          <w:rFonts w:ascii="Garamond" w:eastAsia="Calibri" w:hAnsi="Garamond" w:cs="Times New Roman"/>
          <w:sz w:val="23"/>
          <w:szCs w:val="23"/>
        </w:rPr>
        <w:t>lgs</w:t>
      </w:r>
      <w:proofErr w:type="spellEnd"/>
      <w:r w:rsidRPr="00E62C85">
        <w:rPr>
          <w:rFonts w:ascii="Garamond" w:eastAsia="Calibri" w:hAnsi="Garamond" w:cs="Times New Roman"/>
          <w:sz w:val="23"/>
          <w:szCs w:val="23"/>
        </w:rPr>
        <w:t xml:space="preserve">. n. 33/2013 stabiliscono che il riutilizzo dei dati personali pubblicati è soggetto alle condizioni e ai limiti previsti dalla disciplina sulla protezione dei dati personali e dalle specifiche disposizioni del d. </w:t>
      </w:r>
      <w:proofErr w:type="spellStart"/>
      <w:r w:rsidRPr="00E62C85">
        <w:rPr>
          <w:rFonts w:ascii="Garamond" w:eastAsia="Calibri" w:hAnsi="Garamond" w:cs="Times New Roman"/>
          <w:sz w:val="23"/>
          <w:szCs w:val="23"/>
        </w:rPr>
        <w:t>lgs</w:t>
      </w:r>
      <w:proofErr w:type="spellEnd"/>
      <w:r w:rsidRPr="00E62C85">
        <w:rPr>
          <w:rFonts w:ascii="Garamond" w:eastAsia="Calibri" w:hAnsi="Garamond" w:cs="Times New Roman"/>
          <w:sz w:val="23"/>
          <w:szCs w:val="23"/>
        </w:rPr>
        <w:t>. del 24 gennaio 2006 n. 36 di recepimento della direttiva 2003/98/CE sul riutilizzo dell’informazione del settore pubblico. Tale direttiva è stata oggetto di recente revisione (v. direttiva 2013/37/UE entrata in vigore dopo l’approvazione del decreto legislativo sulla trasparenza).</w:t>
      </w:r>
    </w:p>
    <w:p w14:paraId="08EFE527" w14:textId="7AF025C6" w:rsidR="00E62C85" w:rsidRPr="00E62C85" w:rsidRDefault="00E62C85" w:rsidP="00E62C85">
      <w:pPr>
        <w:autoSpaceDE w:val="0"/>
        <w:autoSpaceDN w:val="0"/>
        <w:adjustRightInd w:val="0"/>
        <w:spacing w:after="0" w:line="276" w:lineRule="auto"/>
        <w:jc w:val="both"/>
        <w:rPr>
          <w:rFonts w:ascii="Garamond" w:eastAsia="Calibri" w:hAnsi="Garamond" w:cs="Times New Roman"/>
          <w:sz w:val="23"/>
          <w:szCs w:val="23"/>
        </w:rPr>
      </w:pPr>
      <w:r w:rsidRPr="00E62C85">
        <w:rPr>
          <w:rFonts w:ascii="Garamond" w:eastAsia="Calibri" w:hAnsi="Garamond" w:cs="Times New Roman"/>
          <w:sz w:val="23"/>
          <w:szCs w:val="23"/>
        </w:rPr>
        <w:t xml:space="preserve">Con la modifica della predetta direttiva, l’Unione europea conferma il principio, da ritenersi ormai consolidato in ambito europeo, in base al quale il riutilizzo di tali documenti non deve pregiudicare il livello di tutela delle persone fisiche con riguardo al trattamento dei dati personali fissato dalle disposizioni di diritto europeo e nazionale in materia. In altri termini, osserva il Garante, </w:t>
      </w:r>
      <w:r w:rsidRPr="00E62C85">
        <w:rPr>
          <w:rFonts w:ascii="Garamond" w:eastAsia="Calibri" w:hAnsi="Garamond" w:cs="Times New Roman"/>
          <w:i/>
          <w:sz w:val="23"/>
          <w:szCs w:val="23"/>
        </w:rPr>
        <w:t>“il semplice fatto che informazioni personali siano rese pubblicamente conoscibili online per finalità di trasparenza non comporta che le stesse siano liberamente riutilizzabili da chiunque e per qualsiasi scopo, bensì si impone al soggetto chiamato a dare attuazione agli obblighi di pubblicazione sul proprio sito web istituzionale di determinare – qualora intenda rendere i dati riutilizzabili – se, per quali finalità e secondo quali limiti e condizioni eventuali utilizzi ulteriori dei dati personali resi pubblici possano ritenersi leciti”.</w:t>
      </w:r>
    </w:p>
    <w:p w14:paraId="7636AD95" w14:textId="77777777" w:rsidR="00E62C85" w:rsidRPr="00E62C85" w:rsidRDefault="00E62C85" w:rsidP="00E62C85">
      <w:pPr>
        <w:autoSpaceDE w:val="0"/>
        <w:autoSpaceDN w:val="0"/>
        <w:adjustRightInd w:val="0"/>
        <w:spacing w:after="0" w:line="276" w:lineRule="auto"/>
        <w:jc w:val="both"/>
        <w:rPr>
          <w:rFonts w:ascii="Garamond" w:eastAsia="Calibri" w:hAnsi="Garamond" w:cs="Times New Roman"/>
          <w:sz w:val="23"/>
          <w:szCs w:val="23"/>
        </w:rPr>
      </w:pPr>
      <w:r w:rsidRPr="00E62C85">
        <w:rPr>
          <w:rFonts w:ascii="Garamond" w:eastAsia="Calibri" w:hAnsi="Garamond" w:cs="Times New Roman"/>
          <w:color w:val="000000"/>
          <w:sz w:val="23"/>
          <w:szCs w:val="23"/>
        </w:rPr>
        <w:t>Le Linee guida del Garante forniscono poi indicazioni particolari con riferimento alla pubblicazione di:</w:t>
      </w:r>
    </w:p>
    <w:p w14:paraId="2AAE119C" w14:textId="77777777" w:rsidR="00E62C85" w:rsidRPr="00E62C85" w:rsidRDefault="00E62C85" w:rsidP="00E62C85">
      <w:pPr>
        <w:numPr>
          <w:ilvl w:val="0"/>
          <w:numId w:val="10"/>
        </w:numPr>
        <w:autoSpaceDE w:val="0"/>
        <w:autoSpaceDN w:val="0"/>
        <w:adjustRightInd w:val="0"/>
        <w:spacing w:after="0" w:line="276" w:lineRule="auto"/>
        <w:ind w:left="567" w:hanging="425"/>
        <w:jc w:val="both"/>
        <w:rPr>
          <w:rFonts w:ascii="Garamond" w:eastAsia="Calibri" w:hAnsi="Garamond" w:cs="Times New Roman"/>
          <w:color w:val="000000"/>
          <w:sz w:val="23"/>
          <w:szCs w:val="23"/>
        </w:rPr>
      </w:pPr>
      <w:r w:rsidRPr="00E62C85">
        <w:rPr>
          <w:rFonts w:ascii="Garamond" w:eastAsia="Calibri" w:hAnsi="Garamond" w:cs="Times New Roman"/>
          <w:color w:val="000000"/>
          <w:sz w:val="23"/>
          <w:szCs w:val="23"/>
        </w:rPr>
        <w:t>curricula;</w:t>
      </w:r>
    </w:p>
    <w:p w14:paraId="72E65779" w14:textId="77777777" w:rsidR="00E62C85" w:rsidRPr="00E62C85" w:rsidRDefault="00E62C85" w:rsidP="00E62C85">
      <w:pPr>
        <w:numPr>
          <w:ilvl w:val="0"/>
          <w:numId w:val="10"/>
        </w:numPr>
        <w:autoSpaceDE w:val="0"/>
        <w:autoSpaceDN w:val="0"/>
        <w:adjustRightInd w:val="0"/>
        <w:spacing w:after="0" w:line="276" w:lineRule="auto"/>
        <w:ind w:left="567" w:hanging="425"/>
        <w:jc w:val="both"/>
        <w:rPr>
          <w:rFonts w:ascii="Garamond" w:eastAsia="Calibri" w:hAnsi="Garamond" w:cs="Times New Roman"/>
          <w:color w:val="000000"/>
          <w:sz w:val="23"/>
          <w:szCs w:val="23"/>
        </w:rPr>
      </w:pPr>
      <w:r w:rsidRPr="00E62C85">
        <w:rPr>
          <w:rFonts w:ascii="Garamond" w:eastAsia="Calibri" w:hAnsi="Garamond" w:cs="Times New Roman"/>
          <w:color w:val="000000"/>
          <w:sz w:val="23"/>
          <w:szCs w:val="23"/>
        </w:rPr>
        <w:t>dichiarazioni dei redditi;</w:t>
      </w:r>
    </w:p>
    <w:p w14:paraId="09B6B9F1" w14:textId="77777777" w:rsidR="00E62C85" w:rsidRPr="00E62C85" w:rsidRDefault="00E62C85" w:rsidP="00E62C85">
      <w:pPr>
        <w:numPr>
          <w:ilvl w:val="0"/>
          <w:numId w:val="10"/>
        </w:numPr>
        <w:autoSpaceDE w:val="0"/>
        <w:autoSpaceDN w:val="0"/>
        <w:adjustRightInd w:val="0"/>
        <w:spacing w:after="0" w:line="276" w:lineRule="auto"/>
        <w:ind w:left="567" w:hanging="425"/>
        <w:jc w:val="both"/>
        <w:rPr>
          <w:rFonts w:ascii="Garamond" w:eastAsia="Calibri" w:hAnsi="Garamond" w:cs="Times New Roman"/>
          <w:color w:val="000000"/>
          <w:sz w:val="23"/>
          <w:szCs w:val="23"/>
        </w:rPr>
      </w:pPr>
      <w:r w:rsidRPr="00E62C85">
        <w:rPr>
          <w:rFonts w:ascii="Garamond" w:eastAsia="Calibri" w:hAnsi="Garamond" w:cs="Times New Roman"/>
          <w:color w:val="000000"/>
          <w:sz w:val="23"/>
          <w:szCs w:val="23"/>
        </w:rPr>
        <w:t xml:space="preserve">entità di corrispettivi e compensi; </w:t>
      </w:r>
    </w:p>
    <w:p w14:paraId="42080521" w14:textId="77777777" w:rsidR="00E62C85" w:rsidRPr="00E62C85" w:rsidRDefault="00E62C85" w:rsidP="00E62C85">
      <w:pPr>
        <w:numPr>
          <w:ilvl w:val="0"/>
          <w:numId w:val="10"/>
        </w:numPr>
        <w:autoSpaceDE w:val="0"/>
        <w:autoSpaceDN w:val="0"/>
        <w:adjustRightInd w:val="0"/>
        <w:spacing w:after="0" w:line="276" w:lineRule="auto"/>
        <w:ind w:left="567" w:hanging="425"/>
        <w:jc w:val="both"/>
        <w:rPr>
          <w:rFonts w:ascii="Garamond" w:eastAsia="Calibri" w:hAnsi="Garamond" w:cs="Times New Roman"/>
          <w:color w:val="000000"/>
          <w:sz w:val="23"/>
          <w:szCs w:val="23"/>
        </w:rPr>
      </w:pPr>
      <w:r w:rsidRPr="00E62C85">
        <w:rPr>
          <w:rFonts w:ascii="Garamond" w:eastAsia="Calibri" w:hAnsi="Garamond" w:cs="Times New Roman"/>
          <w:color w:val="000000"/>
          <w:sz w:val="23"/>
          <w:szCs w:val="23"/>
        </w:rPr>
        <w:t>provvedimenti finali dei procedimenti relativi a concorsi e prove selettive per l’assunzione del personale e progressioni di carriera;</w:t>
      </w:r>
    </w:p>
    <w:p w14:paraId="48B98DC4" w14:textId="77777777" w:rsidR="00E62C85" w:rsidRPr="00E62C85" w:rsidRDefault="00E62C85" w:rsidP="00E62C85">
      <w:pPr>
        <w:numPr>
          <w:ilvl w:val="0"/>
          <w:numId w:val="10"/>
        </w:numPr>
        <w:autoSpaceDE w:val="0"/>
        <w:autoSpaceDN w:val="0"/>
        <w:adjustRightInd w:val="0"/>
        <w:spacing w:after="0" w:line="276" w:lineRule="auto"/>
        <w:ind w:left="567" w:hanging="425"/>
        <w:jc w:val="both"/>
        <w:rPr>
          <w:rFonts w:ascii="Garamond" w:eastAsia="Calibri" w:hAnsi="Garamond" w:cs="Times New Roman"/>
          <w:i/>
          <w:color w:val="000000"/>
          <w:sz w:val="23"/>
          <w:szCs w:val="23"/>
        </w:rPr>
      </w:pPr>
      <w:r w:rsidRPr="00E62C85">
        <w:rPr>
          <w:rFonts w:ascii="Garamond" w:eastAsia="Calibri" w:hAnsi="Garamond" w:cs="Times New Roman"/>
          <w:color w:val="000000"/>
          <w:sz w:val="23"/>
          <w:szCs w:val="23"/>
        </w:rPr>
        <w:t xml:space="preserve">atti di concessione di sovvenzioni, contributi, sussidi e attribuzione di vantaggi economici e dell’elenco dei soggetti beneficiari. </w:t>
      </w:r>
    </w:p>
    <w:p w14:paraId="11807CAF" w14:textId="77777777" w:rsidR="00E62C85" w:rsidRPr="00E62C85" w:rsidRDefault="00E62C85" w:rsidP="00E62C85">
      <w:pPr>
        <w:autoSpaceDE w:val="0"/>
        <w:autoSpaceDN w:val="0"/>
        <w:adjustRightInd w:val="0"/>
        <w:spacing w:after="0" w:line="276" w:lineRule="auto"/>
        <w:jc w:val="both"/>
        <w:rPr>
          <w:rFonts w:ascii="Garamond" w:eastAsia="Calibri" w:hAnsi="Garamond" w:cs="Times New Roman"/>
          <w:i/>
          <w:color w:val="000000"/>
          <w:sz w:val="23"/>
          <w:szCs w:val="23"/>
        </w:rPr>
      </w:pPr>
      <w:r w:rsidRPr="00E62C85">
        <w:rPr>
          <w:rFonts w:ascii="Garamond" w:eastAsia="Calibri" w:hAnsi="Garamond" w:cs="Times New Roman"/>
          <w:color w:val="000000"/>
          <w:sz w:val="23"/>
          <w:szCs w:val="23"/>
        </w:rPr>
        <w:t>Con riferimento a quest’ultimo punto, si ricorda che l’art. 26 del decreto legislativo 33/2013, comma 4, dispone che: “</w:t>
      </w:r>
      <w:r w:rsidRPr="00E62C85">
        <w:rPr>
          <w:rFonts w:ascii="Garamond" w:eastAsia="Calibri" w:hAnsi="Garamond" w:cs="Times New Roman"/>
          <w:i/>
          <w:color w:val="000000"/>
          <w:sz w:val="23"/>
          <w:szCs w:val="23"/>
        </w:rPr>
        <w:t>Non è consentita la pubblicazione dei dati identificativi delle persone fisiche destinatarie dei provvedimenti di concessione di sovvenzioni, contributi, sussidi e attribuzione di vantaggi economici, qualora da tali dati sia possibile ricavare informazioni relative allo stato di salute ovvero alla situazione di disagio economico sociale degli interessati.”</w:t>
      </w:r>
    </w:p>
    <w:p w14:paraId="093C0F4F" w14:textId="77777777" w:rsidR="00E62C85" w:rsidRPr="00E62C85" w:rsidRDefault="00E62C85" w:rsidP="00E62C85">
      <w:pPr>
        <w:autoSpaceDE w:val="0"/>
        <w:autoSpaceDN w:val="0"/>
        <w:adjustRightInd w:val="0"/>
        <w:spacing w:after="0" w:line="276" w:lineRule="auto"/>
        <w:jc w:val="both"/>
        <w:rPr>
          <w:rFonts w:ascii="Garamond" w:eastAsia="Calibri" w:hAnsi="Garamond" w:cs="Times New Roman"/>
          <w:color w:val="000000"/>
          <w:sz w:val="23"/>
          <w:szCs w:val="23"/>
        </w:rPr>
      </w:pPr>
      <w:r w:rsidRPr="00E62C85">
        <w:rPr>
          <w:rFonts w:ascii="Garamond" w:eastAsia="Calibri" w:hAnsi="Garamond" w:cs="Times New Roman"/>
          <w:color w:val="000000"/>
          <w:sz w:val="23"/>
          <w:szCs w:val="23"/>
        </w:rPr>
        <w:t>Pertanto, non rientrano nel divieto di cui al 4° comma dell’art. 26 i dati delle persone giuridiche, enti e associazioni. Un caso a parte è rappresentato dalle ditte individuali, infatti il Garante precisa che “</w:t>
      </w:r>
      <w:r w:rsidRPr="00E62C85">
        <w:rPr>
          <w:rFonts w:ascii="Garamond" w:eastAsia="Calibri" w:hAnsi="Garamond" w:cs="Times New Roman"/>
          <w:i/>
          <w:iCs/>
          <w:color w:val="000000"/>
          <w:sz w:val="23"/>
          <w:szCs w:val="23"/>
        </w:rPr>
        <w:t xml:space="preserve">l’apposizione sui contrassegni della ragione sociale dell’azienda individuale, essendo idonea a identificare direttamente l’interessato (art. 4, </w:t>
      </w:r>
      <w:r w:rsidRPr="00E62C85">
        <w:rPr>
          <w:rFonts w:ascii="Garamond" w:eastAsia="Calibri" w:hAnsi="Garamond" w:cs="Times New Roman"/>
          <w:i/>
          <w:iCs/>
          <w:color w:val="000000"/>
          <w:sz w:val="23"/>
          <w:szCs w:val="23"/>
        </w:rPr>
        <w:lastRenderedPageBreak/>
        <w:t xml:space="preserve">comma 1, </w:t>
      </w:r>
      <w:proofErr w:type="spellStart"/>
      <w:r w:rsidRPr="00E62C85">
        <w:rPr>
          <w:rFonts w:ascii="Garamond" w:eastAsia="Calibri" w:hAnsi="Garamond" w:cs="Times New Roman"/>
          <w:i/>
          <w:iCs/>
          <w:color w:val="000000"/>
          <w:sz w:val="23"/>
          <w:szCs w:val="23"/>
        </w:rPr>
        <w:t>lett</w:t>
      </w:r>
      <w:proofErr w:type="spellEnd"/>
      <w:r w:rsidRPr="00E62C85">
        <w:rPr>
          <w:rFonts w:ascii="Garamond" w:eastAsia="Calibri" w:hAnsi="Garamond" w:cs="Times New Roman"/>
          <w:i/>
          <w:iCs/>
          <w:color w:val="000000"/>
          <w:sz w:val="23"/>
          <w:szCs w:val="23"/>
        </w:rPr>
        <w:t xml:space="preserve">. b), del Codice), configura un trattamento di dati personali riguardanti le persone fisiche.” </w:t>
      </w:r>
      <w:r w:rsidRPr="00E62C85">
        <w:rPr>
          <w:rFonts w:ascii="Garamond" w:eastAsia="Calibri" w:hAnsi="Garamond" w:cs="Times New Roman"/>
          <w:color w:val="000000"/>
          <w:sz w:val="23"/>
          <w:szCs w:val="23"/>
        </w:rPr>
        <w:t>(provvedimento n. 217/13 doc. web 2439150).</w:t>
      </w:r>
    </w:p>
    <w:p w14:paraId="6023F2FC" w14:textId="77777777" w:rsidR="00E62C85" w:rsidRPr="00E62C85" w:rsidRDefault="00E62C85" w:rsidP="00E62C85">
      <w:pPr>
        <w:autoSpaceDE w:val="0"/>
        <w:autoSpaceDN w:val="0"/>
        <w:adjustRightInd w:val="0"/>
        <w:spacing w:after="0" w:line="276" w:lineRule="auto"/>
        <w:jc w:val="both"/>
        <w:rPr>
          <w:rFonts w:ascii="Garamond" w:eastAsia="Calibri" w:hAnsi="Garamond" w:cs="Times New Roman"/>
          <w:sz w:val="23"/>
          <w:szCs w:val="23"/>
        </w:rPr>
      </w:pPr>
      <w:r w:rsidRPr="00E62C85">
        <w:rPr>
          <w:rFonts w:ascii="Garamond" w:eastAsia="Calibri" w:hAnsi="Garamond" w:cs="Times New Roman"/>
          <w:sz w:val="23"/>
          <w:szCs w:val="23"/>
        </w:rPr>
        <w:t>L’attività di pubblicazione dei dati sui siti web per finalità di trasparenza, anche se effettuata in presenza di idoneo presupposto normativo, deve avvenire sempre nel rispetto di tutti i principi applicabili al trattamento dei dati personali contenuti all’art. 5 del Regolamento (UE) 2016/679, quali quelli di liceità, correttezza e trasparenza; minimizzazione dei dati; esattezza; limitazione della conservazione; integrità e riservatezza tenendo anche conto del principio di “responsabilizzazione” del titolare del trattamento</w:t>
      </w:r>
      <w:r w:rsidRPr="00E62C85">
        <w:rPr>
          <w:rFonts w:ascii="Garamond" w:eastAsia="Calibri" w:hAnsi="Garamond" w:cs="Times New Roman"/>
          <w:i/>
          <w:iCs/>
          <w:sz w:val="23"/>
          <w:szCs w:val="23"/>
        </w:rPr>
        <w:t xml:space="preserve"> (artt. 23-25 e l'intero Capo IV del Regolamento)</w:t>
      </w:r>
      <w:r w:rsidRPr="00E62C85">
        <w:rPr>
          <w:rFonts w:ascii="Garamond" w:eastAsia="Calibri" w:hAnsi="Garamond" w:cs="Times New Roman"/>
          <w:sz w:val="23"/>
          <w:szCs w:val="23"/>
        </w:rPr>
        <w:t xml:space="preserve"> con il conseguente dovere di adottare tutte le misure ragionevoli per cancellare o rettificare tempestivamente i dati inesatti rispetto alle finalità per le quali sono pubblicati.</w:t>
      </w:r>
      <w:r w:rsidRPr="00E62C85">
        <w:rPr>
          <w:rFonts w:ascii="Garamond" w:eastAsia="Calibri" w:hAnsi="Garamond" w:cs="Times New Roman"/>
          <w:i/>
          <w:iCs/>
          <w:sz w:val="23"/>
          <w:szCs w:val="23"/>
        </w:rPr>
        <w:t xml:space="preserve"> </w:t>
      </w:r>
    </w:p>
    <w:p w14:paraId="5E2D8A9B" w14:textId="77777777" w:rsidR="00E62C85" w:rsidRPr="00E62C85" w:rsidRDefault="00E62C85" w:rsidP="00E62C85">
      <w:pPr>
        <w:shd w:val="clear" w:color="auto" w:fill="FFFFFF"/>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Pertanto, fermo restando il dovere di direttiva e di vigilanza del RPD (Responsabile Protezione dei dati) e del RPCT (Responsabile della Prevenzione della Corruzione e della Trasparenza), compete al Delegato/Autorizzato al trattamento la verifica che i dati pubblicati non contengano dati personali o particolari e, qualora li contenesse, l’onere di oscurarli prima di renderli pubblici. </w:t>
      </w:r>
    </w:p>
    <w:p w14:paraId="142B4D14" w14:textId="77777777" w:rsidR="00E62C85" w:rsidRPr="00E62C85" w:rsidRDefault="00E62C85" w:rsidP="00E62C85">
      <w:pPr>
        <w:shd w:val="clear" w:color="auto" w:fill="FFFFFF"/>
        <w:spacing w:after="0" w:line="276" w:lineRule="auto"/>
        <w:ind w:right="-1"/>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Per tale ragione sarebbe opportuno prevedere che i provvedimenti soggetti a pubblicazione obbligatoria vengano progettati secondo uno schema-tipo in cui prevedere che i dati personali siano contenuti in allegati non soggetti a pubblicazione, piuttosto che nel provvedimento da pubblicare. </w:t>
      </w:r>
    </w:p>
    <w:p w14:paraId="5C38B9E7" w14:textId="77777777" w:rsidR="00E62C85" w:rsidRPr="001C1F99" w:rsidRDefault="00E62C85" w:rsidP="00E62C85">
      <w:pPr>
        <w:autoSpaceDE w:val="0"/>
        <w:autoSpaceDN w:val="0"/>
        <w:adjustRightInd w:val="0"/>
        <w:spacing w:after="0" w:line="276" w:lineRule="auto"/>
        <w:jc w:val="both"/>
        <w:rPr>
          <w:rFonts w:ascii="Garamond" w:hAnsi="Garamond" w:cs="Times New Roman"/>
          <w:color w:val="000000"/>
          <w:sz w:val="23"/>
          <w:szCs w:val="23"/>
        </w:rPr>
      </w:pPr>
      <w:r w:rsidRPr="00E62C85">
        <w:rPr>
          <w:rFonts w:ascii="Garamond" w:eastAsia="Times New Roman" w:hAnsi="Garamond" w:cs="Times New Roman"/>
          <w:color w:val="000000"/>
          <w:sz w:val="23"/>
          <w:szCs w:val="23"/>
          <w:lang w:eastAsia="it-IT"/>
        </w:rPr>
        <w:t>Riguardo alla tematica del contemperamento degli obblighi trasparenza con le diposizioni dettate a tutela dei dati personali si rinvia al “Vademecum per l’attuazione degli obblighi di trasparenza”</w:t>
      </w:r>
      <w:r w:rsidRPr="00E62C85">
        <w:rPr>
          <w:rFonts w:ascii="Garamond" w:hAnsi="Garamond" w:cs="Times New Roman"/>
          <w:color w:val="000000"/>
          <w:sz w:val="23"/>
          <w:szCs w:val="23"/>
        </w:rPr>
        <w:t xml:space="preserve"> costituito da una Prima Parte, più specificamente dedicata agli obblighi di pubblicazione, e una Seconda Parte dedicata alla corretta applicazione della normativa privacy con riguardo agli obblighi di pubblicazione. Con riferimento  a detta seconda parte, con circolare </w:t>
      </w:r>
      <w:hyperlink r:id="rId17" w:history="1">
        <w:proofErr w:type="spellStart"/>
        <w:r w:rsidRPr="00E62C85">
          <w:rPr>
            <w:rFonts w:ascii="Garamond" w:hAnsi="Garamond" w:cs="Times New Roman"/>
            <w:color w:val="000000"/>
            <w:sz w:val="23"/>
            <w:szCs w:val="23"/>
          </w:rPr>
          <w:t>prot</w:t>
        </w:r>
        <w:proofErr w:type="spellEnd"/>
        <w:r w:rsidRPr="00E62C85">
          <w:rPr>
            <w:rFonts w:ascii="Garamond" w:hAnsi="Garamond" w:cs="Times New Roman"/>
            <w:color w:val="000000"/>
            <w:sz w:val="23"/>
            <w:szCs w:val="23"/>
          </w:rPr>
          <w:t xml:space="preserve">. n. 0083964/22 del 03/03/2022 sono stati forniti ulteriori indirizzi e precisazioni. Tutta la Documentazione suddetta è consultabile nella Sezione Amministrazione Trasparente. </w:t>
        </w:r>
      </w:hyperlink>
    </w:p>
    <w:bookmarkEnd w:id="76"/>
    <w:p w14:paraId="5A6F7AD1" w14:textId="2F4964BA" w:rsidR="00AD73B8" w:rsidRDefault="00AD73B8" w:rsidP="00582EFE">
      <w:pPr>
        <w:spacing w:after="0" w:line="276" w:lineRule="auto"/>
        <w:rPr>
          <w:rFonts w:ascii="Garamond" w:hAnsi="Garamond" w:cs="Times New Roman"/>
          <w:sz w:val="23"/>
          <w:szCs w:val="23"/>
        </w:rPr>
      </w:pPr>
    </w:p>
    <w:p w14:paraId="653D64E9" w14:textId="68BED0D1" w:rsidR="00AD73B8" w:rsidRPr="00967692" w:rsidRDefault="00AD73B8" w:rsidP="00582EFE">
      <w:pPr>
        <w:spacing w:after="0" w:line="276" w:lineRule="auto"/>
        <w:jc w:val="both"/>
        <w:outlineLvl w:val="0"/>
        <w:rPr>
          <w:rFonts w:ascii="Garamond" w:eastAsia="Calibri" w:hAnsi="Garamond" w:cs="Times New Roman"/>
          <w:b/>
          <w:sz w:val="28"/>
          <w:szCs w:val="28"/>
        </w:rPr>
      </w:pPr>
      <w:bookmarkStart w:id="90" w:name="_Toc102136708"/>
      <w:r>
        <w:rPr>
          <w:rFonts w:ascii="Garamond" w:eastAsia="Calibri" w:hAnsi="Garamond" w:cs="Times New Roman"/>
          <w:b/>
          <w:sz w:val="28"/>
          <w:szCs w:val="28"/>
        </w:rPr>
        <w:t>4</w:t>
      </w:r>
      <w:r w:rsidRPr="00967692">
        <w:rPr>
          <w:rFonts w:ascii="Garamond" w:eastAsia="Calibri" w:hAnsi="Garamond" w:cs="Times New Roman"/>
          <w:b/>
          <w:sz w:val="28"/>
          <w:szCs w:val="28"/>
        </w:rPr>
        <w:t>.</w:t>
      </w:r>
      <w:r w:rsidR="00AA10A3">
        <w:rPr>
          <w:rFonts w:ascii="Garamond" w:eastAsia="Calibri" w:hAnsi="Garamond" w:cs="Times New Roman"/>
          <w:b/>
          <w:sz w:val="28"/>
          <w:szCs w:val="28"/>
        </w:rPr>
        <w:t>2</w:t>
      </w:r>
      <w:r w:rsidRPr="00967692">
        <w:rPr>
          <w:rFonts w:ascii="Garamond" w:eastAsia="Calibri" w:hAnsi="Garamond" w:cs="Times New Roman"/>
          <w:b/>
          <w:sz w:val="28"/>
          <w:szCs w:val="28"/>
        </w:rPr>
        <w:t xml:space="preserve"> </w:t>
      </w:r>
      <w:r w:rsidR="00AA10A3">
        <w:rPr>
          <w:rFonts w:ascii="Garamond" w:eastAsia="Calibri" w:hAnsi="Garamond" w:cs="Times New Roman"/>
          <w:b/>
          <w:sz w:val="28"/>
          <w:szCs w:val="28"/>
        </w:rPr>
        <w:t xml:space="preserve">MONITORAGGIO </w:t>
      </w:r>
      <w:r w:rsidRPr="00967692">
        <w:rPr>
          <w:rFonts w:ascii="Garamond" w:eastAsia="Calibri" w:hAnsi="Garamond" w:cs="Times New Roman"/>
          <w:b/>
          <w:sz w:val="28"/>
          <w:szCs w:val="28"/>
        </w:rPr>
        <w:t>RISCHI CORRUTTIVI E TRASPARENZA</w:t>
      </w:r>
      <w:bookmarkEnd w:id="90"/>
    </w:p>
    <w:p w14:paraId="69FF8263" w14:textId="77777777" w:rsidR="00AD73B8" w:rsidRPr="00D86DC5" w:rsidRDefault="00AD73B8" w:rsidP="00582EFE">
      <w:pPr>
        <w:tabs>
          <w:tab w:val="left" w:pos="9354"/>
        </w:tabs>
        <w:autoSpaceDE w:val="0"/>
        <w:autoSpaceDN w:val="0"/>
        <w:adjustRightInd w:val="0"/>
        <w:spacing w:after="0" w:line="276" w:lineRule="auto"/>
        <w:ind w:right="-1"/>
        <w:jc w:val="both"/>
        <w:rPr>
          <w:rFonts w:ascii="Garamond" w:hAnsi="Garamond" w:cs="Times New Roman"/>
          <w:sz w:val="23"/>
          <w:szCs w:val="23"/>
        </w:rPr>
      </w:pPr>
    </w:p>
    <w:p w14:paraId="3E5354A3" w14:textId="54D00E39" w:rsidR="00AD73B8" w:rsidRPr="00AA10A3" w:rsidRDefault="00AA10A3" w:rsidP="00582EFE">
      <w:pPr>
        <w:spacing w:after="0" w:line="276" w:lineRule="auto"/>
        <w:ind w:right="-1"/>
        <w:jc w:val="both"/>
        <w:rPr>
          <w:rFonts w:ascii="Garamond" w:eastAsia="Calibri" w:hAnsi="Garamond" w:cs="Times New Roman"/>
          <w:b/>
          <w:i/>
          <w:smallCaps/>
          <w:sz w:val="23"/>
          <w:szCs w:val="23"/>
        </w:rPr>
      </w:pPr>
      <w:bookmarkStart w:id="91" w:name="_Hlk101637647"/>
      <w:r>
        <w:rPr>
          <w:rFonts w:ascii="Garamond" w:eastAsia="Calibri" w:hAnsi="Garamond" w:cs="Times New Roman"/>
          <w:b/>
          <w:i/>
          <w:smallCaps/>
          <w:sz w:val="23"/>
          <w:szCs w:val="23"/>
        </w:rPr>
        <w:t>M</w:t>
      </w:r>
      <w:r w:rsidRPr="00AA10A3">
        <w:rPr>
          <w:rFonts w:ascii="Garamond" w:eastAsia="Calibri" w:hAnsi="Garamond" w:cs="Times New Roman"/>
          <w:b/>
          <w:i/>
          <w:smallCaps/>
          <w:sz w:val="23"/>
          <w:szCs w:val="23"/>
        </w:rPr>
        <w:t>onitoraggio sull’idoneità e sull’attuazione delle misure di prevenzione della corruzione</w:t>
      </w:r>
    </w:p>
    <w:bookmarkEnd w:id="91"/>
    <w:p w14:paraId="1DE2D3D3" w14:textId="77777777" w:rsidR="00AD73B8" w:rsidRDefault="00AD73B8" w:rsidP="00582EFE">
      <w:pPr>
        <w:spacing w:after="0" w:line="276" w:lineRule="auto"/>
        <w:ind w:right="-1"/>
        <w:jc w:val="both"/>
        <w:rPr>
          <w:rFonts w:ascii="Garamond" w:hAnsi="Garamond" w:cs="Times New Roman"/>
          <w:sz w:val="23"/>
          <w:szCs w:val="23"/>
        </w:rPr>
      </w:pPr>
    </w:p>
    <w:p w14:paraId="21E4FAA1" w14:textId="77777777" w:rsidR="00AD73B8" w:rsidRPr="00D86DC5" w:rsidRDefault="00AD73B8" w:rsidP="00582EFE">
      <w:pPr>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L’art. 1, comma 12, </w:t>
      </w:r>
      <w:proofErr w:type="spellStart"/>
      <w:r w:rsidRPr="00D86DC5">
        <w:rPr>
          <w:rFonts w:ascii="Garamond" w:hAnsi="Garamond" w:cs="Times New Roman"/>
          <w:sz w:val="23"/>
          <w:szCs w:val="23"/>
        </w:rPr>
        <w:t>lett</w:t>
      </w:r>
      <w:proofErr w:type="spellEnd"/>
      <w:r w:rsidRPr="00D86DC5">
        <w:rPr>
          <w:rFonts w:ascii="Garamond" w:hAnsi="Garamond" w:cs="Times New Roman"/>
          <w:sz w:val="23"/>
          <w:szCs w:val="23"/>
        </w:rPr>
        <w:t xml:space="preserve">. b) della L. 190/2012 pone in capo al RPCT la verifica del funzionamento e dell’osservanza del Piano triennale di prevenzione della corruzione. </w:t>
      </w:r>
    </w:p>
    <w:p w14:paraId="686FB612" w14:textId="77777777" w:rsidR="00AD73B8" w:rsidRPr="00D86DC5" w:rsidRDefault="00AD73B8" w:rsidP="00582EFE">
      <w:pPr>
        <w:spacing w:after="0" w:line="276" w:lineRule="auto"/>
        <w:ind w:right="-1"/>
        <w:jc w:val="both"/>
        <w:rPr>
          <w:rFonts w:ascii="Garamond" w:hAnsi="Garamond" w:cs="Times New Roman"/>
          <w:sz w:val="23"/>
          <w:szCs w:val="23"/>
        </w:rPr>
      </w:pPr>
      <w:r w:rsidRPr="00D86DC5">
        <w:rPr>
          <w:rFonts w:ascii="Garamond" w:hAnsi="Garamond" w:cs="Times New Roman"/>
          <w:sz w:val="23"/>
          <w:szCs w:val="23"/>
        </w:rPr>
        <w:t>Tale attività di verifica è effettuata con cadenze periodiche secondo apposite comunicazioni del RPCT con le quali sono fornite le indicazioni per l’espletamento degli adempimenti previsti in sede di monitoraggio sullo stato di attuazione delle Misure del trattamento del rischio.</w:t>
      </w:r>
    </w:p>
    <w:p w14:paraId="20A8CA99" w14:textId="6D803497" w:rsidR="00AD73B8" w:rsidRPr="00D86DC5" w:rsidRDefault="00AD73B8" w:rsidP="00582EFE">
      <w:pPr>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Ai fini di più agevole e ordinata raccolta ed elaborazione delle informazioni, ogni singola Struttura e/o Dipartimento è chiamata a fornire un </w:t>
      </w:r>
      <w:r w:rsidRPr="00D86DC5">
        <w:rPr>
          <w:rFonts w:ascii="Garamond" w:hAnsi="Garamond" w:cs="Times New Roman"/>
          <w:i/>
          <w:sz w:val="23"/>
          <w:szCs w:val="23"/>
        </w:rPr>
        <w:t xml:space="preserve">riscontro unitario, </w:t>
      </w:r>
      <w:r w:rsidRPr="00D86DC5">
        <w:rPr>
          <w:rFonts w:ascii="Garamond" w:hAnsi="Garamond" w:cs="Times New Roman"/>
          <w:iCs/>
          <w:sz w:val="23"/>
          <w:szCs w:val="23"/>
        </w:rPr>
        <w:t>racco</w:t>
      </w:r>
      <w:r w:rsidRPr="00D86DC5">
        <w:rPr>
          <w:rFonts w:ascii="Garamond" w:hAnsi="Garamond" w:cs="Times New Roman"/>
          <w:sz w:val="23"/>
          <w:szCs w:val="23"/>
        </w:rPr>
        <w:t xml:space="preserve">gliendo le schede dei singoli servizi dipartimentali in una cartella compressa ed assicurando, per il tramite dei referenti, la completezza dei dati e dei rapporti da parte di tutte le strutture. </w:t>
      </w:r>
    </w:p>
    <w:p w14:paraId="0671254E" w14:textId="77777777" w:rsidR="00AD73B8" w:rsidRPr="00D86DC5" w:rsidRDefault="00AD73B8" w:rsidP="00582EFE">
      <w:pPr>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Per le operazioni di Monitoraggio sono predisposte dal Servizio Autonomo – Controlli e Anticorruzione due </w:t>
      </w:r>
      <w:proofErr w:type="spellStart"/>
      <w:r w:rsidRPr="00D86DC5">
        <w:rPr>
          <w:rFonts w:ascii="Garamond" w:hAnsi="Garamond" w:cs="Times New Roman"/>
          <w:i/>
          <w:sz w:val="23"/>
          <w:szCs w:val="23"/>
        </w:rPr>
        <w:t>Check</w:t>
      </w:r>
      <w:proofErr w:type="spellEnd"/>
      <w:r w:rsidRPr="00D86DC5">
        <w:rPr>
          <w:rFonts w:ascii="Garamond" w:hAnsi="Garamond" w:cs="Times New Roman"/>
          <w:i/>
          <w:sz w:val="23"/>
          <w:szCs w:val="23"/>
        </w:rPr>
        <w:t xml:space="preserve"> List</w:t>
      </w:r>
      <w:r w:rsidRPr="00D86DC5">
        <w:rPr>
          <w:rFonts w:ascii="Garamond" w:hAnsi="Garamond" w:cs="Times New Roman"/>
          <w:sz w:val="23"/>
          <w:szCs w:val="23"/>
        </w:rPr>
        <w:t xml:space="preserve"> denominate rispettivamente: “</w:t>
      </w:r>
      <w:proofErr w:type="spellStart"/>
      <w:r w:rsidRPr="00D86DC5">
        <w:rPr>
          <w:rFonts w:ascii="Garamond" w:hAnsi="Garamond" w:cs="Times New Roman"/>
          <w:i/>
          <w:sz w:val="23"/>
          <w:szCs w:val="23"/>
        </w:rPr>
        <w:t>Check</w:t>
      </w:r>
      <w:proofErr w:type="spellEnd"/>
      <w:r w:rsidRPr="00D86DC5">
        <w:rPr>
          <w:rFonts w:ascii="Garamond" w:hAnsi="Garamond" w:cs="Times New Roman"/>
          <w:i/>
          <w:sz w:val="23"/>
          <w:szCs w:val="23"/>
        </w:rPr>
        <w:t xml:space="preserve"> List Allegato A</w:t>
      </w:r>
      <w:r>
        <w:rPr>
          <w:rFonts w:ascii="Garamond" w:hAnsi="Garamond" w:cs="Times New Roman"/>
          <w:sz w:val="23"/>
          <w:szCs w:val="23"/>
        </w:rPr>
        <w:t xml:space="preserve">” </w:t>
      </w:r>
      <w:proofErr w:type="gramStart"/>
      <w:r>
        <w:rPr>
          <w:rFonts w:ascii="Garamond" w:hAnsi="Garamond" w:cs="Times New Roman"/>
          <w:sz w:val="23"/>
          <w:szCs w:val="23"/>
        </w:rPr>
        <w:t xml:space="preserve">e </w:t>
      </w:r>
      <w:r w:rsidRPr="00D86DC5">
        <w:rPr>
          <w:rFonts w:ascii="Garamond" w:hAnsi="Garamond" w:cs="Times New Roman"/>
          <w:sz w:val="23"/>
          <w:szCs w:val="23"/>
        </w:rPr>
        <w:t>“</w:t>
      </w:r>
      <w:proofErr w:type="spellStart"/>
      <w:proofErr w:type="gramEnd"/>
      <w:r w:rsidRPr="00D86DC5">
        <w:rPr>
          <w:rFonts w:ascii="Garamond" w:hAnsi="Garamond" w:cs="Times New Roman"/>
          <w:i/>
          <w:sz w:val="23"/>
          <w:szCs w:val="23"/>
        </w:rPr>
        <w:t>Check</w:t>
      </w:r>
      <w:proofErr w:type="spellEnd"/>
      <w:r w:rsidRPr="00D86DC5">
        <w:rPr>
          <w:rFonts w:ascii="Garamond" w:hAnsi="Garamond" w:cs="Times New Roman"/>
          <w:i/>
          <w:sz w:val="23"/>
          <w:szCs w:val="23"/>
        </w:rPr>
        <w:t xml:space="preserve"> List Allegato B</w:t>
      </w:r>
      <w:r w:rsidRPr="00D86DC5">
        <w:rPr>
          <w:rFonts w:ascii="Garamond" w:hAnsi="Garamond" w:cs="Times New Roman"/>
          <w:sz w:val="23"/>
          <w:szCs w:val="23"/>
        </w:rPr>
        <w:t xml:space="preserve">”, da utilizzare per fornire tutte le informazioni e i dati relativi allo stato di attuazione delle </w:t>
      </w:r>
      <w:r w:rsidRPr="00D86DC5">
        <w:rPr>
          <w:rFonts w:ascii="Garamond" w:hAnsi="Garamond" w:cs="Times New Roman"/>
          <w:i/>
          <w:sz w:val="23"/>
          <w:szCs w:val="23"/>
        </w:rPr>
        <w:t>Misure Specifiche</w:t>
      </w:r>
      <w:r w:rsidRPr="00D86DC5">
        <w:rPr>
          <w:rFonts w:ascii="Garamond" w:hAnsi="Garamond" w:cs="Times New Roman"/>
          <w:sz w:val="23"/>
          <w:szCs w:val="23"/>
        </w:rPr>
        <w:t xml:space="preserve"> e delle </w:t>
      </w:r>
      <w:r w:rsidRPr="00D86DC5">
        <w:rPr>
          <w:rFonts w:ascii="Garamond" w:hAnsi="Garamond" w:cs="Times New Roman"/>
          <w:i/>
          <w:sz w:val="23"/>
          <w:szCs w:val="23"/>
        </w:rPr>
        <w:t>Misure Generali</w:t>
      </w:r>
      <w:r w:rsidRPr="00D86DC5">
        <w:rPr>
          <w:rFonts w:ascii="Garamond" w:hAnsi="Garamond" w:cs="Times New Roman"/>
          <w:sz w:val="23"/>
          <w:szCs w:val="23"/>
        </w:rPr>
        <w:t>.</w:t>
      </w:r>
    </w:p>
    <w:p w14:paraId="3DB0CD05" w14:textId="2BACC42C" w:rsidR="00AD73B8" w:rsidRPr="00D86DC5" w:rsidRDefault="00AD73B8" w:rsidP="00582EFE">
      <w:pPr>
        <w:spacing w:after="0" w:line="276" w:lineRule="auto"/>
        <w:ind w:right="-1"/>
        <w:jc w:val="both"/>
        <w:rPr>
          <w:rFonts w:ascii="Garamond" w:hAnsi="Garamond" w:cs="Times New Roman"/>
          <w:sz w:val="23"/>
          <w:szCs w:val="23"/>
        </w:rPr>
      </w:pPr>
      <w:r w:rsidRPr="00D86DC5">
        <w:rPr>
          <w:rFonts w:ascii="Garamond" w:hAnsi="Garamond" w:cs="Times New Roman"/>
          <w:sz w:val="23"/>
          <w:szCs w:val="23"/>
        </w:rPr>
        <w:t xml:space="preserve">La </w:t>
      </w:r>
      <w:proofErr w:type="spellStart"/>
      <w:r w:rsidRPr="00D86DC5">
        <w:rPr>
          <w:rFonts w:ascii="Garamond" w:hAnsi="Garamond" w:cs="Times New Roman"/>
          <w:sz w:val="23"/>
          <w:szCs w:val="23"/>
        </w:rPr>
        <w:t>Check</w:t>
      </w:r>
      <w:proofErr w:type="spellEnd"/>
      <w:r w:rsidRPr="00D86DC5">
        <w:rPr>
          <w:rFonts w:ascii="Garamond" w:hAnsi="Garamond" w:cs="Times New Roman"/>
          <w:sz w:val="23"/>
          <w:szCs w:val="23"/>
        </w:rPr>
        <w:t xml:space="preserve"> list Allegato A è composta di due form</w:t>
      </w:r>
      <w:r w:rsidR="00033905">
        <w:rPr>
          <w:rFonts w:ascii="Garamond" w:hAnsi="Garamond" w:cs="Times New Roman"/>
          <w:sz w:val="23"/>
          <w:szCs w:val="23"/>
        </w:rPr>
        <w:t xml:space="preserve">at: </w:t>
      </w:r>
      <w:proofErr w:type="spellStart"/>
      <w:r w:rsidR="00033905">
        <w:rPr>
          <w:rFonts w:ascii="Garamond" w:hAnsi="Garamond" w:cs="Times New Roman"/>
          <w:sz w:val="23"/>
          <w:szCs w:val="23"/>
        </w:rPr>
        <w:t>Check</w:t>
      </w:r>
      <w:proofErr w:type="spellEnd"/>
      <w:r w:rsidR="00033905">
        <w:rPr>
          <w:rFonts w:ascii="Garamond" w:hAnsi="Garamond" w:cs="Times New Roman"/>
          <w:sz w:val="23"/>
          <w:szCs w:val="23"/>
        </w:rPr>
        <w:t xml:space="preserve"> List A e </w:t>
      </w:r>
      <w:proofErr w:type="spellStart"/>
      <w:r w:rsidR="00033905">
        <w:rPr>
          <w:rFonts w:ascii="Garamond" w:hAnsi="Garamond" w:cs="Times New Roman"/>
          <w:sz w:val="23"/>
          <w:szCs w:val="23"/>
        </w:rPr>
        <w:t>Check</w:t>
      </w:r>
      <w:proofErr w:type="spellEnd"/>
      <w:r w:rsidR="00033905">
        <w:rPr>
          <w:rFonts w:ascii="Garamond" w:hAnsi="Garamond" w:cs="Times New Roman"/>
          <w:sz w:val="23"/>
          <w:szCs w:val="23"/>
        </w:rPr>
        <w:t xml:space="preserve"> List A </w:t>
      </w:r>
      <w:r w:rsidR="00F91026" w:rsidRPr="00033905">
        <w:rPr>
          <w:rFonts w:ascii="Garamond" w:hAnsi="Garamond" w:cs="Times New Roman"/>
          <w:sz w:val="23"/>
          <w:szCs w:val="23"/>
        </w:rPr>
        <w:t>bis</w:t>
      </w:r>
      <w:r w:rsidRPr="00D86DC5">
        <w:rPr>
          <w:rFonts w:ascii="Garamond" w:hAnsi="Garamond" w:cs="Times New Roman"/>
          <w:sz w:val="23"/>
          <w:szCs w:val="23"/>
        </w:rPr>
        <w:t xml:space="preserve">. Per ottimizzare e rendere quanto più agevole il lavoro dei Dipartimenti/Servizi Autonomi, il format della </w:t>
      </w:r>
      <w:proofErr w:type="spellStart"/>
      <w:r w:rsidRPr="00D86DC5">
        <w:rPr>
          <w:rFonts w:ascii="Garamond" w:hAnsi="Garamond" w:cs="Times New Roman"/>
          <w:sz w:val="23"/>
          <w:szCs w:val="23"/>
        </w:rPr>
        <w:t>Check</w:t>
      </w:r>
      <w:proofErr w:type="spellEnd"/>
      <w:r w:rsidRPr="00D86DC5">
        <w:rPr>
          <w:rFonts w:ascii="Garamond" w:hAnsi="Garamond" w:cs="Times New Roman"/>
          <w:sz w:val="23"/>
          <w:szCs w:val="23"/>
        </w:rPr>
        <w:t xml:space="preserve"> List A è stato distinto per strutture. Ogni Dipartimento/Servizio Autonomo utilizza il rispettivo format di competenza e, nella colonna dedicata: “</w:t>
      </w:r>
      <w:r w:rsidRPr="0067790C">
        <w:rPr>
          <w:rFonts w:ascii="Garamond" w:hAnsi="Garamond" w:cs="Times New Roman"/>
          <w:sz w:val="20"/>
          <w:szCs w:val="20"/>
        </w:rPr>
        <w:t>DESCRIZIONE ADEMPIMENTI</w:t>
      </w:r>
      <w:r w:rsidRPr="00D86DC5">
        <w:rPr>
          <w:rFonts w:ascii="Garamond" w:hAnsi="Garamond" w:cs="Times New Roman"/>
          <w:sz w:val="23"/>
          <w:szCs w:val="23"/>
        </w:rPr>
        <w:t>”, indica le azioni realizzate o programmate per l’attuazione delle Misure Specifiche ivi descritte.</w:t>
      </w:r>
    </w:p>
    <w:p w14:paraId="42B60EAF" w14:textId="77777777" w:rsidR="00AD73B8" w:rsidRPr="00D86DC5" w:rsidRDefault="00AD73B8" w:rsidP="00582EFE">
      <w:pPr>
        <w:spacing w:after="0" w:line="276" w:lineRule="auto"/>
        <w:ind w:right="-1"/>
        <w:jc w:val="both"/>
        <w:rPr>
          <w:rFonts w:ascii="Garamond" w:hAnsi="Garamond" w:cs="Times New Roman"/>
          <w:sz w:val="23"/>
          <w:szCs w:val="23"/>
        </w:rPr>
      </w:pPr>
      <w:r w:rsidRPr="00D86DC5">
        <w:rPr>
          <w:rFonts w:ascii="Garamond" w:hAnsi="Garamond" w:cs="Times New Roman"/>
          <w:sz w:val="23"/>
          <w:szCs w:val="23"/>
        </w:rPr>
        <w:lastRenderedPageBreak/>
        <w:t>È opportuno ch</w:t>
      </w:r>
      <w:r>
        <w:rPr>
          <w:rFonts w:ascii="Garamond" w:hAnsi="Garamond" w:cs="Times New Roman"/>
          <w:sz w:val="23"/>
          <w:szCs w:val="23"/>
        </w:rPr>
        <w:t>e</w:t>
      </w:r>
      <w:r w:rsidRPr="00D86DC5">
        <w:rPr>
          <w:rFonts w:ascii="Garamond" w:hAnsi="Garamond" w:cs="Times New Roman"/>
          <w:sz w:val="23"/>
          <w:szCs w:val="23"/>
        </w:rPr>
        <w:t xml:space="preserve"> i Dipartimenti/Servizi Autonomi provvedano alla descrizione degli adempimenti in maniera circostanziata così da rendere evidenti anche le eventuali criticità derivanti da difficoltà organizzative o altre ragioni a causa delle quali non si sia potuto adempiere all’applicazione della Misura in maniera esaustiva. </w:t>
      </w:r>
    </w:p>
    <w:p w14:paraId="01534E94" w14:textId="77777777" w:rsidR="00AD73B8" w:rsidRPr="00D86DC5" w:rsidRDefault="00AD73B8" w:rsidP="00582EFE">
      <w:pPr>
        <w:spacing w:after="0" w:line="276" w:lineRule="auto"/>
        <w:ind w:right="-1"/>
        <w:jc w:val="both"/>
        <w:rPr>
          <w:rFonts w:ascii="Garamond" w:hAnsi="Garamond" w:cs="Times New Roman"/>
          <w:sz w:val="23"/>
          <w:szCs w:val="23"/>
        </w:rPr>
      </w:pPr>
      <w:r w:rsidRPr="00D86DC5">
        <w:rPr>
          <w:rFonts w:ascii="Garamond" w:hAnsi="Garamond" w:cs="Times New Roman"/>
          <w:sz w:val="23"/>
          <w:szCs w:val="23"/>
        </w:rPr>
        <w:t>Con riguardo al monitoraggio sull’attuazione delle Misure Generali, di cui all’Allegato B, la “</w:t>
      </w:r>
      <w:proofErr w:type="spellStart"/>
      <w:r w:rsidRPr="00D86DC5">
        <w:rPr>
          <w:rFonts w:ascii="Garamond" w:hAnsi="Garamond" w:cs="Times New Roman"/>
          <w:sz w:val="23"/>
          <w:szCs w:val="23"/>
        </w:rPr>
        <w:t>Check</w:t>
      </w:r>
      <w:proofErr w:type="spellEnd"/>
      <w:r w:rsidRPr="00D86DC5">
        <w:rPr>
          <w:rFonts w:ascii="Garamond" w:hAnsi="Garamond" w:cs="Times New Roman"/>
          <w:sz w:val="23"/>
          <w:szCs w:val="23"/>
        </w:rPr>
        <w:t xml:space="preserve"> List Allegato B” consente di dare conto dell’attuazione delle Misure Generali a carico di tutte le strutture attraverso l’apposita colonna “</w:t>
      </w:r>
      <w:r w:rsidRPr="0067790C">
        <w:rPr>
          <w:rFonts w:ascii="Garamond" w:hAnsi="Garamond" w:cs="Times New Roman"/>
          <w:sz w:val="20"/>
          <w:szCs w:val="20"/>
        </w:rPr>
        <w:t>DESCRIZIONE ADEMPIMENTI</w:t>
      </w:r>
      <w:r w:rsidRPr="00D86DC5">
        <w:rPr>
          <w:rFonts w:ascii="Garamond" w:hAnsi="Garamond" w:cs="Times New Roman"/>
          <w:sz w:val="23"/>
          <w:szCs w:val="23"/>
        </w:rPr>
        <w:t>”.</w:t>
      </w:r>
    </w:p>
    <w:p w14:paraId="73FA3E22" w14:textId="11003200" w:rsidR="00AD73B8" w:rsidRDefault="00AD73B8" w:rsidP="00582EFE">
      <w:pPr>
        <w:spacing w:after="0" w:line="276" w:lineRule="auto"/>
        <w:ind w:right="-1"/>
        <w:jc w:val="both"/>
        <w:rPr>
          <w:rFonts w:ascii="Garamond" w:hAnsi="Garamond" w:cs="Times New Roman"/>
          <w:sz w:val="23"/>
          <w:szCs w:val="23"/>
        </w:rPr>
      </w:pPr>
      <w:r>
        <w:rPr>
          <w:rFonts w:ascii="Garamond" w:hAnsi="Garamond" w:cs="Times New Roman"/>
          <w:sz w:val="23"/>
          <w:szCs w:val="23"/>
        </w:rPr>
        <w:t xml:space="preserve">Il monitoraggio descritto mutua le modalità e gli strumenti utilizzati per i PTPCT pregressi e, da ultimo, per il PTPCT 2022/2024 per il quale è stata confermata </w:t>
      </w:r>
      <w:r w:rsidRPr="00224CB3">
        <w:rPr>
          <w:rFonts w:ascii="Garamond" w:hAnsi="Garamond" w:cs="Times New Roman"/>
          <w:sz w:val="23"/>
          <w:szCs w:val="23"/>
        </w:rPr>
        <w:t>un’unica sessione</w:t>
      </w:r>
      <w:r w:rsidRPr="004F125F">
        <w:rPr>
          <w:rFonts w:ascii="Garamond" w:hAnsi="Garamond" w:cs="Times New Roman"/>
          <w:sz w:val="23"/>
          <w:szCs w:val="23"/>
        </w:rPr>
        <w:t xml:space="preserve"> di monitoraggio</w:t>
      </w:r>
      <w:r>
        <w:rPr>
          <w:rFonts w:ascii="Garamond" w:hAnsi="Garamond" w:cs="Times New Roman"/>
          <w:sz w:val="23"/>
          <w:szCs w:val="23"/>
        </w:rPr>
        <w:t>.</w:t>
      </w:r>
    </w:p>
    <w:p w14:paraId="2C6666B1" w14:textId="76A9E9B2" w:rsidR="00EF418B" w:rsidRPr="009E6815" w:rsidRDefault="00EF418B" w:rsidP="00EF418B">
      <w:pPr>
        <w:spacing w:after="0" w:line="276" w:lineRule="auto"/>
        <w:ind w:right="-1"/>
        <w:jc w:val="both"/>
        <w:rPr>
          <w:rFonts w:ascii="Garamond" w:hAnsi="Garamond" w:cs="Times New Roman"/>
          <w:sz w:val="23"/>
          <w:szCs w:val="23"/>
        </w:rPr>
      </w:pPr>
      <w:r w:rsidRPr="009E6815">
        <w:rPr>
          <w:rFonts w:ascii="Garamond" w:hAnsi="Garamond" w:cs="Times New Roman"/>
          <w:sz w:val="23"/>
          <w:szCs w:val="23"/>
        </w:rPr>
        <w:t xml:space="preserve">In merito si ritiene congruo mantenere un’unica sessione di monitoraggio, al </w:t>
      </w:r>
      <w:r w:rsidR="00C377D6" w:rsidRPr="0037773E">
        <w:rPr>
          <w:rFonts w:ascii="Garamond" w:hAnsi="Garamond" w:cs="Times New Roman"/>
          <w:sz w:val="23"/>
          <w:szCs w:val="23"/>
        </w:rPr>
        <w:t>15</w:t>
      </w:r>
      <w:r w:rsidRPr="0037773E">
        <w:rPr>
          <w:rFonts w:ascii="Garamond" w:hAnsi="Garamond" w:cs="Times New Roman"/>
          <w:sz w:val="23"/>
          <w:szCs w:val="23"/>
        </w:rPr>
        <w:t xml:space="preserve"> </w:t>
      </w:r>
      <w:r w:rsidR="00C377D6" w:rsidRPr="0037773E">
        <w:rPr>
          <w:rFonts w:ascii="Garamond" w:hAnsi="Garamond" w:cs="Times New Roman"/>
          <w:sz w:val="23"/>
          <w:szCs w:val="23"/>
        </w:rPr>
        <w:t>novembre</w:t>
      </w:r>
      <w:r w:rsidRPr="0037773E">
        <w:rPr>
          <w:rFonts w:ascii="Garamond" w:hAnsi="Garamond" w:cs="Times New Roman"/>
          <w:sz w:val="23"/>
          <w:szCs w:val="23"/>
        </w:rPr>
        <w:t xml:space="preserve"> </w:t>
      </w:r>
      <w:r w:rsidRPr="009E6815">
        <w:rPr>
          <w:rFonts w:ascii="Garamond" w:hAnsi="Garamond" w:cs="Times New Roman"/>
          <w:sz w:val="23"/>
          <w:szCs w:val="23"/>
        </w:rPr>
        <w:t>2023, anche per allineare le attività di monitoraggio alle tempistiche di redazione del Piano</w:t>
      </w:r>
      <w:r w:rsidR="009E6815" w:rsidRPr="009E6815">
        <w:rPr>
          <w:rFonts w:ascii="Garamond" w:hAnsi="Garamond" w:cs="Times New Roman"/>
          <w:sz w:val="23"/>
          <w:szCs w:val="23"/>
        </w:rPr>
        <w:t>.</w:t>
      </w:r>
    </w:p>
    <w:p w14:paraId="6F7E51AA" w14:textId="67504938" w:rsidR="00EF418B" w:rsidRPr="009E6815" w:rsidRDefault="00EF418B" w:rsidP="00EF418B">
      <w:pPr>
        <w:spacing w:after="0" w:line="276" w:lineRule="auto"/>
        <w:ind w:right="-1"/>
        <w:jc w:val="both"/>
        <w:rPr>
          <w:rFonts w:ascii="Garamond" w:hAnsi="Garamond" w:cs="Times New Roman"/>
          <w:sz w:val="23"/>
          <w:szCs w:val="23"/>
        </w:rPr>
      </w:pPr>
      <w:r w:rsidRPr="009E6815">
        <w:rPr>
          <w:rFonts w:ascii="Garamond" w:hAnsi="Garamond" w:cs="Times New Roman"/>
          <w:sz w:val="23"/>
          <w:szCs w:val="23"/>
        </w:rPr>
        <w:t xml:space="preserve">Si ritiene inoltre di effettuare un monitoraggio intermedio al </w:t>
      </w:r>
      <w:r w:rsidR="00C377D6" w:rsidRPr="0037773E">
        <w:rPr>
          <w:rFonts w:ascii="Garamond" w:hAnsi="Garamond" w:cs="Times New Roman"/>
          <w:sz w:val="23"/>
          <w:szCs w:val="23"/>
        </w:rPr>
        <w:t>15</w:t>
      </w:r>
      <w:r w:rsidRPr="0037773E">
        <w:rPr>
          <w:rFonts w:ascii="Garamond" w:hAnsi="Garamond" w:cs="Times New Roman"/>
          <w:sz w:val="23"/>
          <w:szCs w:val="23"/>
        </w:rPr>
        <w:t xml:space="preserve"> </w:t>
      </w:r>
      <w:r w:rsidR="00C377D6" w:rsidRPr="0037773E">
        <w:rPr>
          <w:rFonts w:ascii="Garamond" w:hAnsi="Garamond" w:cs="Times New Roman"/>
          <w:sz w:val="23"/>
          <w:szCs w:val="23"/>
        </w:rPr>
        <w:t>maggio</w:t>
      </w:r>
      <w:r w:rsidRPr="0037773E">
        <w:rPr>
          <w:rFonts w:ascii="Garamond" w:hAnsi="Garamond" w:cs="Times New Roman"/>
          <w:sz w:val="23"/>
          <w:szCs w:val="23"/>
        </w:rPr>
        <w:t xml:space="preserve"> </w:t>
      </w:r>
      <w:r w:rsidRPr="009E6815">
        <w:rPr>
          <w:rFonts w:ascii="Garamond" w:hAnsi="Garamond" w:cs="Times New Roman"/>
          <w:sz w:val="23"/>
          <w:szCs w:val="23"/>
        </w:rPr>
        <w:t xml:space="preserve">2023 solo per quei processi che hanno evidenziato criticità in occasione del precedente monitoraggio al 15 novembre 2022. </w:t>
      </w:r>
      <w:r w:rsidR="009E6815" w:rsidRPr="009E6815">
        <w:rPr>
          <w:rFonts w:ascii="Garamond" w:hAnsi="Garamond" w:cs="Times New Roman"/>
          <w:sz w:val="23"/>
          <w:szCs w:val="23"/>
        </w:rPr>
        <w:t xml:space="preserve">In tal modo si ritiene di </w:t>
      </w:r>
      <w:proofErr w:type="spellStart"/>
      <w:r w:rsidR="009E6815" w:rsidRPr="009E6815">
        <w:rPr>
          <w:rFonts w:ascii="Garamond" w:hAnsi="Garamond" w:cs="Times New Roman"/>
          <w:sz w:val="23"/>
          <w:szCs w:val="23"/>
        </w:rPr>
        <w:t>effici</w:t>
      </w:r>
      <w:r w:rsidRPr="009E6815">
        <w:rPr>
          <w:rFonts w:ascii="Garamond" w:hAnsi="Garamond" w:cs="Times New Roman"/>
          <w:sz w:val="23"/>
          <w:szCs w:val="23"/>
        </w:rPr>
        <w:t>entare</w:t>
      </w:r>
      <w:proofErr w:type="spellEnd"/>
      <w:r w:rsidRPr="009E6815">
        <w:rPr>
          <w:rFonts w:ascii="Garamond" w:hAnsi="Garamond" w:cs="Times New Roman"/>
          <w:sz w:val="23"/>
          <w:szCs w:val="23"/>
        </w:rPr>
        <w:t xml:space="preserve"> l’attività di monitoraggio senza gravare eccessivamente sulle strutture regionali a ciò oberate ma, contestualmente, perseguendo l’obiettivo di migliorarne l’efficacia. </w:t>
      </w:r>
    </w:p>
    <w:p w14:paraId="2E2322A2" w14:textId="13E955AE" w:rsidR="00AD73B8" w:rsidRPr="009E6815" w:rsidRDefault="00AD73B8" w:rsidP="00582EFE">
      <w:pPr>
        <w:tabs>
          <w:tab w:val="left" w:pos="1416"/>
          <w:tab w:val="left" w:pos="2124"/>
          <w:tab w:val="left" w:pos="2832"/>
          <w:tab w:val="left" w:pos="3540"/>
          <w:tab w:val="left" w:pos="4248"/>
          <w:tab w:val="left" w:pos="4956"/>
          <w:tab w:val="left" w:pos="5664"/>
          <w:tab w:val="right" w:pos="9638"/>
        </w:tabs>
        <w:spacing w:after="0" w:line="276" w:lineRule="auto"/>
        <w:jc w:val="both"/>
        <w:rPr>
          <w:rFonts w:ascii="Garamond" w:eastAsia="Times New Roman" w:hAnsi="Garamond" w:cs="Times New Roman"/>
          <w:b/>
          <w:sz w:val="23"/>
          <w:szCs w:val="23"/>
          <w:highlight w:val="lightGray"/>
          <w:lang w:eastAsia="it-IT"/>
        </w:rPr>
      </w:pPr>
    </w:p>
    <w:p w14:paraId="5E5797A3" w14:textId="6EC5A9FD" w:rsidR="00AA10A3" w:rsidRPr="00AA10A3" w:rsidRDefault="00AA10A3" w:rsidP="00582EFE">
      <w:pPr>
        <w:spacing w:after="0" w:line="276" w:lineRule="auto"/>
        <w:ind w:right="-1"/>
        <w:jc w:val="both"/>
        <w:rPr>
          <w:rFonts w:ascii="Garamond" w:eastAsia="Calibri" w:hAnsi="Garamond" w:cs="Times New Roman"/>
          <w:b/>
          <w:i/>
          <w:smallCaps/>
          <w:sz w:val="23"/>
          <w:szCs w:val="23"/>
        </w:rPr>
      </w:pPr>
      <w:r>
        <w:rPr>
          <w:rFonts w:ascii="Garamond" w:eastAsia="Calibri" w:hAnsi="Garamond" w:cs="Times New Roman"/>
          <w:b/>
          <w:i/>
          <w:smallCaps/>
          <w:sz w:val="23"/>
          <w:szCs w:val="23"/>
        </w:rPr>
        <w:t>M</w:t>
      </w:r>
      <w:r w:rsidRPr="00AA10A3">
        <w:rPr>
          <w:rFonts w:ascii="Garamond" w:eastAsia="Calibri" w:hAnsi="Garamond" w:cs="Times New Roman"/>
          <w:b/>
          <w:i/>
          <w:smallCaps/>
          <w:sz w:val="23"/>
          <w:szCs w:val="23"/>
        </w:rPr>
        <w:t>onitoraggio e controllo degli adempimenti di trasparenza e misure sanzionatorie</w:t>
      </w:r>
    </w:p>
    <w:p w14:paraId="74F28949" w14:textId="33AC3DD5" w:rsidR="001C1F99" w:rsidRPr="00AA10A3" w:rsidRDefault="001C1F99" w:rsidP="00582EFE">
      <w:pPr>
        <w:spacing w:after="0" w:line="276" w:lineRule="auto"/>
        <w:ind w:right="-1"/>
        <w:jc w:val="both"/>
        <w:rPr>
          <w:rFonts w:ascii="Garamond" w:eastAsia="Calibri" w:hAnsi="Garamond" w:cs="Times New Roman"/>
          <w:smallCaps/>
          <w:sz w:val="23"/>
          <w:szCs w:val="23"/>
        </w:rPr>
      </w:pPr>
    </w:p>
    <w:p w14:paraId="2BC104B9" w14:textId="77777777" w:rsidR="00E62C85" w:rsidRPr="00E62C85" w:rsidRDefault="00E62C85" w:rsidP="00E62C85">
      <w:pPr>
        <w:autoSpaceDE w:val="0"/>
        <w:autoSpaceDN w:val="0"/>
        <w:adjustRightInd w:val="0"/>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Per quanto concerne gli obblighi di trasparenza, sono previsti i seguenti monitoraggi ordinari:</w:t>
      </w:r>
    </w:p>
    <w:p w14:paraId="26DEE9AD" w14:textId="77777777" w:rsidR="00E62C85" w:rsidRPr="00E62C85" w:rsidRDefault="00E62C85" w:rsidP="00E62C85">
      <w:pPr>
        <w:numPr>
          <w:ilvl w:val="0"/>
          <w:numId w:val="11"/>
        </w:numPr>
        <w:tabs>
          <w:tab w:val="left" w:pos="1416"/>
          <w:tab w:val="left" w:pos="2124"/>
          <w:tab w:val="left" w:pos="2832"/>
          <w:tab w:val="left" w:pos="3540"/>
          <w:tab w:val="left" w:pos="4248"/>
          <w:tab w:val="left" w:pos="4956"/>
          <w:tab w:val="left" w:pos="5664"/>
          <w:tab w:val="right" w:pos="9638"/>
        </w:tabs>
        <w:spacing w:after="0" w:line="276" w:lineRule="auto"/>
        <w:ind w:left="284" w:hanging="283"/>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relativamente agli adempimenti in materia di accesso civico è richiesta alle Strutture regionali la comunicazione dei dati al RPCT entro il 15 luglio 2023 per il primo semestre 2023 ed entro il 15 gennaio 2024 per il secondo semestre 2023. I dati di monitoraggio sono funzionali anche all’aggiornamento semestrale del registro degli accessi da parte del RPCT;</w:t>
      </w:r>
    </w:p>
    <w:p w14:paraId="50B75BBA" w14:textId="77777777" w:rsidR="00E62C85" w:rsidRPr="00E62C85" w:rsidRDefault="00E62C85" w:rsidP="00E62C85">
      <w:pPr>
        <w:numPr>
          <w:ilvl w:val="0"/>
          <w:numId w:val="11"/>
        </w:numPr>
        <w:tabs>
          <w:tab w:val="left" w:pos="1416"/>
          <w:tab w:val="left" w:pos="2124"/>
          <w:tab w:val="left" w:pos="2832"/>
          <w:tab w:val="left" w:pos="3540"/>
          <w:tab w:val="left" w:pos="4248"/>
          <w:tab w:val="left" w:pos="4956"/>
          <w:tab w:val="left" w:pos="5664"/>
          <w:tab w:val="right" w:pos="9638"/>
        </w:tabs>
        <w:spacing w:after="0" w:line="276" w:lineRule="auto"/>
        <w:ind w:left="284" w:hanging="283"/>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relativamente agli adempimenti di pubblicazione, è previsto un unico monitoraggio annuale al </w:t>
      </w:r>
      <w:r w:rsidRPr="0037773E">
        <w:rPr>
          <w:rFonts w:ascii="Garamond" w:eastAsia="Times New Roman" w:hAnsi="Garamond" w:cs="Times New Roman"/>
          <w:sz w:val="23"/>
          <w:szCs w:val="23"/>
          <w:lang w:eastAsia="it-IT"/>
        </w:rPr>
        <w:t>15 novembre 2023</w:t>
      </w:r>
      <w:r w:rsidRPr="00E62C85">
        <w:rPr>
          <w:rFonts w:ascii="Garamond" w:eastAsia="Times New Roman" w:hAnsi="Garamond" w:cs="Times New Roman"/>
          <w:sz w:val="23"/>
          <w:szCs w:val="23"/>
          <w:lang w:eastAsia="it-IT"/>
        </w:rPr>
        <w:t>,</w:t>
      </w:r>
      <w:r w:rsidRPr="00E62C85">
        <w:rPr>
          <w:rFonts w:ascii="Garamond" w:eastAsia="Times New Roman" w:hAnsi="Garamond" w:cs="Times New Roman"/>
          <w:b/>
          <w:sz w:val="23"/>
          <w:szCs w:val="23"/>
          <w:lang w:eastAsia="it-IT"/>
        </w:rPr>
        <w:t xml:space="preserve"> </w:t>
      </w:r>
      <w:r w:rsidRPr="00E62C85">
        <w:rPr>
          <w:rFonts w:ascii="Garamond" w:eastAsia="Times New Roman" w:hAnsi="Garamond" w:cs="Times New Roman"/>
          <w:sz w:val="23"/>
          <w:szCs w:val="23"/>
          <w:lang w:eastAsia="it-IT"/>
        </w:rPr>
        <w:t>mediante compilazione dell’ultima colonna dell’Allegato C trasparenza,</w:t>
      </w:r>
      <w:r w:rsidRPr="00E62C85">
        <w:rPr>
          <w:rFonts w:ascii="Garamond" w:eastAsia="Times New Roman" w:hAnsi="Garamond" w:cs="Times New Roman"/>
          <w:b/>
          <w:sz w:val="23"/>
          <w:szCs w:val="23"/>
          <w:lang w:eastAsia="it-IT"/>
        </w:rPr>
        <w:t xml:space="preserve"> </w:t>
      </w:r>
      <w:r w:rsidRPr="00E62C85">
        <w:rPr>
          <w:rFonts w:ascii="Garamond" w:eastAsia="Times New Roman" w:hAnsi="Garamond" w:cs="Times New Roman"/>
          <w:sz w:val="23"/>
          <w:szCs w:val="23"/>
          <w:lang w:eastAsia="it-IT"/>
        </w:rPr>
        <w:t>in corrispondenza di ogni singolo obbligo di competenza.</w:t>
      </w:r>
    </w:p>
    <w:p w14:paraId="2546CC28" w14:textId="77777777" w:rsidR="00E62C85" w:rsidRPr="00E62C85" w:rsidRDefault="00E62C85" w:rsidP="00E62C85">
      <w:pPr>
        <w:autoSpaceDE w:val="0"/>
        <w:autoSpaceDN w:val="0"/>
        <w:adjustRightInd w:val="0"/>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Gli esiti dell’attività di monitoraggio sono comunicati all’OIV ai fini della valutazione della performance di Direttori e Dirigenti.</w:t>
      </w:r>
    </w:p>
    <w:p w14:paraId="2812EF5A" w14:textId="77777777" w:rsidR="00E62C85" w:rsidRPr="00E62C85" w:rsidRDefault="00E62C85" w:rsidP="00E62C85">
      <w:pPr>
        <w:autoSpaceDE w:val="0"/>
        <w:autoSpaceDN w:val="0"/>
        <w:adjustRightInd w:val="0"/>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 xml:space="preserve">Il monitoraggio degli adempimenti costituisce, pertanto momento sempre più rilevante, in quanto le nuove disposizioni normative hanno affiancato alle funzioni di controllo già attribuite al RPCT e all’OIV, un sistema sanzionatorio a carico dell’ANAC, per il quale sono stati adottati dall’Autorità i relativi decreti attuativi. </w:t>
      </w:r>
    </w:p>
    <w:p w14:paraId="79751AD8" w14:textId="77777777" w:rsidR="00E62C85" w:rsidRPr="00E62C85" w:rsidRDefault="00E62C85" w:rsidP="00E62C85">
      <w:pPr>
        <w:autoSpaceDE w:val="0"/>
        <w:autoSpaceDN w:val="0"/>
        <w:adjustRightInd w:val="0"/>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Oltre ai già menzionati monitoraggi, il RPCT esegue, con il supporto dell’Ufficio Obblighi di trasparenza, controlli periodici sulla qualità e completezza dei dati pubblicati, provvedendo a sollecitare le Strutture competenti con specifiche comunicazioni, a livello individuale o con circolari se l’obbligo riguarda la totalità dei Dirigenti.</w:t>
      </w:r>
    </w:p>
    <w:p w14:paraId="1C93D7CB" w14:textId="77777777" w:rsidR="00E62C85" w:rsidRPr="00ED5CC4" w:rsidRDefault="00E62C85" w:rsidP="00E62C85">
      <w:pPr>
        <w:autoSpaceDE w:val="0"/>
        <w:autoSpaceDN w:val="0"/>
        <w:adjustRightInd w:val="0"/>
        <w:spacing w:after="0" w:line="276" w:lineRule="auto"/>
        <w:jc w:val="both"/>
        <w:rPr>
          <w:rFonts w:ascii="Garamond" w:eastAsia="Times New Roman" w:hAnsi="Garamond" w:cs="Times New Roman"/>
          <w:sz w:val="23"/>
          <w:szCs w:val="23"/>
          <w:lang w:eastAsia="it-IT"/>
        </w:rPr>
      </w:pPr>
      <w:r w:rsidRPr="00E62C85">
        <w:rPr>
          <w:rFonts w:ascii="Garamond" w:eastAsia="Times New Roman" w:hAnsi="Garamond" w:cs="Times New Roman"/>
          <w:sz w:val="23"/>
          <w:szCs w:val="23"/>
          <w:lang w:eastAsia="it-IT"/>
        </w:rPr>
        <w:t>Anche l’annuale Griglia di controllo, deliberata dall’Autorità, costituisce occasione per una verifica approfondita delle sottosezioni individuate dall’ANAC e momento di confronto fra il RPCT, i Dirigenti Regionali competenti per materia e l’Organismo di Valutazione che ha modo di verificare direttamente la complessità e la qualità delle pubblicazioni.</w:t>
      </w:r>
    </w:p>
    <w:p w14:paraId="453801D8" w14:textId="798CDB2B" w:rsidR="001C1F99" w:rsidRPr="001C1F99" w:rsidRDefault="001C1F99" w:rsidP="00582EFE">
      <w:pPr>
        <w:autoSpaceDE w:val="0"/>
        <w:autoSpaceDN w:val="0"/>
        <w:adjustRightInd w:val="0"/>
        <w:spacing w:after="0" w:line="276" w:lineRule="auto"/>
        <w:jc w:val="both"/>
        <w:rPr>
          <w:rFonts w:ascii="Garamond" w:eastAsia="Times New Roman" w:hAnsi="Garamond" w:cs="Times New Roman"/>
          <w:sz w:val="23"/>
          <w:szCs w:val="23"/>
          <w:lang w:eastAsia="it-IT"/>
        </w:rPr>
      </w:pPr>
    </w:p>
    <w:p w14:paraId="10AB9C34" w14:textId="77777777" w:rsidR="001C1F99" w:rsidRPr="001C1F99" w:rsidRDefault="001C1F99" w:rsidP="00582EFE">
      <w:pPr>
        <w:autoSpaceDE w:val="0"/>
        <w:autoSpaceDN w:val="0"/>
        <w:adjustRightInd w:val="0"/>
        <w:spacing w:after="0" w:line="276" w:lineRule="auto"/>
        <w:jc w:val="both"/>
        <w:rPr>
          <w:rFonts w:ascii="Garamond" w:eastAsia="Times New Roman" w:hAnsi="Garamond" w:cs="Times New Roman"/>
          <w:sz w:val="23"/>
          <w:szCs w:val="23"/>
          <w:lang w:eastAsia="it-IT"/>
        </w:rPr>
      </w:pPr>
    </w:p>
    <w:p w14:paraId="22943D7A" w14:textId="7625B069" w:rsidR="001C1F99" w:rsidRPr="00330E30" w:rsidRDefault="001C1F99" w:rsidP="00582EFE">
      <w:pPr>
        <w:spacing w:after="0" w:line="276" w:lineRule="auto"/>
        <w:ind w:right="-1"/>
        <w:jc w:val="both"/>
        <w:rPr>
          <w:rFonts w:ascii="Garamond" w:hAnsi="Garamond" w:cs="Times New Roman"/>
          <w:b/>
          <w:i/>
          <w:sz w:val="23"/>
          <w:szCs w:val="23"/>
        </w:rPr>
      </w:pPr>
      <w:bookmarkStart w:id="92" w:name="_Toc43329254"/>
      <w:bookmarkStart w:id="93" w:name="_Toc44404313"/>
      <w:bookmarkStart w:id="94" w:name="_Toc101344225"/>
      <w:r w:rsidRPr="00330E30">
        <w:rPr>
          <w:rFonts w:ascii="Garamond" w:hAnsi="Garamond" w:cs="Times New Roman"/>
          <w:b/>
          <w:i/>
          <w:sz w:val="23"/>
          <w:szCs w:val="23"/>
        </w:rPr>
        <w:t>Misure sanzionatorie</w:t>
      </w:r>
      <w:bookmarkEnd w:id="92"/>
      <w:bookmarkEnd w:id="93"/>
      <w:bookmarkEnd w:id="94"/>
    </w:p>
    <w:p w14:paraId="2C0728D8" w14:textId="77777777" w:rsidR="001C1F99" w:rsidRPr="001C1F99" w:rsidRDefault="001C1F99" w:rsidP="00582EFE">
      <w:pPr>
        <w:autoSpaceDE w:val="0"/>
        <w:autoSpaceDN w:val="0"/>
        <w:adjustRightInd w:val="0"/>
        <w:spacing w:after="0" w:line="276" w:lineRule="auto"/>
        <w:jc w:val="both"/>
        <w:rPr>
          <w:rFonts w:ascii="Garamond" w:eastAsia="Calibri" w:hAnsi="Garamond" w:cs="Times New Roman"/>
          <w:sz w:val="23"/>
          <w:szCs w:val="23"/>
        </w:rPr>
      </w:pPr>
      <w:r w:rsidRPr="001C1F99">
        <w:rPr>
          <w:rFonts w:ascii="Garamond" w:eastAsia="Calibri" w:hAnsi="Garamond" w:cs="Times New Roman"/>
          <w:sz w:val="23"/>
          <w:szCs w:val="23"/>
        </w:rPr>
        <w:t xml:space="preserve">Il Capo VI del </w:t>
      </w:r>
      <w:proofErr w:type="spellStart"/>
      <w:proofErr w:type="gramStart"/>
      <w:r w:rsidRPr="001C1F99">
        <w:rPr>
          <w:rFonts w:ascii="Garamond" w:eastAsia="Calibri" w:hAnsi="Garamond" w:cs="Times New Roman"/>
          <w:sz w:val="23"/>
          <w:szCs w:val="23"/>
        </w:rPr>
        <w:t>D.Lgs</w:t>
      </w:r>
      <w:proofErr w:type="gramEnd"/>
      <w:r w:rsidRPr="001C1F99">
        <w:rPr>
          <w:rFonts w:ascii="Garamond" w:eastAsia="Calibri" w:hAnsi="Garamond" w:cs="Times New Roman"/>
          <w:sz w:val="23"/>
          <w:szCs w:val="23"/>
        </w:rPr>
        <w:t>.</w:t>
      </w:r>
      <w:proofErr w:type="spellEnd"/>
      <w:r w:rsidRPr="001C1F99">
        <w:rPr>
          <w:rFonts w:ascii="Garamond" w:eastAsia="Calibri" w:hAnsi="Garamond" w:cs="Times New Roman"/>
          <w:sz w:val="23"/>
          <w:szCs w:val="23"/>
        </w:rPr>
        <w:t xml:space="preserve"> 33/2013 è dedicato alla “Vigilanza sull'attuazione delle disposizioni e sanzioni”.</w:t>
      </w:r>
    </w:p>
    <w:p w14:paraId="29B6B0CD" w14:textId="77777777" w:rsidR="001C1F99" w:rsidRPr="00AA10A3" w:rsidRDefault="001C1F99" w:rsidP="00582EFE">
      <w:pPr>
        <w:autoSpaceDE w:val="0"/>
        <w:autoSpaceDN w:val="0"/>
        <w:adjustRightInd w:val="0"/>
        <w:spacing w:after="0" w:line="276" w:lineRule="auto"/>
        <w:jc w:val="both"/>
        <w:rPr>
          <w:rFonts w:ascii="Garamond" w:eastAsia="Calibri" w:hAnsi="Garamond" w:cs="Times New Roman"/>
          <w:sz w:val="23"/>
          <w:szCs w:val="23"/>
        </w:rPr>
      </w:pPr>
      <w:r w:rsidRPr="00AA10A3">
        <w:rPr>
          <w:rFonts w:ascii="Garamond" w:eastAsia="Calibri" w:hAnsi="Garamond" w:cs="Times New Roman"/>
          <w:sz w:val="23"/>
          <w:szCs w:val="23"/>
        </w:rPr>
        <w:t>Nello specifico:</w:t>
      </w:r>
    </w:p>
    <w:p w14:paraId="60A96324" w14:textId="77777777" w:rsidR="001C1F99" w:rsidRPr="001C1F99" w:rsidRDefault="001C1F99" w:rsidP="00582EFE">
      <w:pPr>
        <w:autoSpaceDE w:val="0"/>
        <w:autoSpaceDN w:val="0"/>
        <w:adjustRightInd w:val="0"/>
        <w:spacing w:after="0" w:line="276" w:lineRule="auto"/>
        <w:ind w:left="851" w:hanging="851"/>
        <w:jc w:val="both"/>
        <w:rPr>
          <w:rFonts w:ascii="Garamond" w:eastAsia="Calibri" w:hAnsi="Garamond" w:cs="Times New Roman"/>
          <w:sz w:val="23"/>
          <w:szCs w:val="23"/>
        </w:rPr>
      </w:pPr>
      <w:r w:rsidRPr="001C1F99">
        <w:rPr>
          <w:rFonts w:ascii="Garamond" w:eastAsia="Calibri" w:hAnsi="Garamond" w:cs="Times New Roman"/>
          <w:sz w:val="23"/>
          <w:szCs w:val="23"/>
        </w:rPr>
        <w:t>l’art. 43  definisce</w:t>
      </w:r>
      <w:r w:rsidRPr="001C1F99">
        <w:rPr>
          <w:rFonts w:ascii="Garamond" w:eastAsia="Calibri" w:hAnsi="Garamond" w:cs="Times New Roman"/>
          <w:b/>
          <w:sz w:val="23"/>
          <w:szCs w:val="23"/>
        </w:rPr>
        <w:t xml:space="preserve"> </w:t>
      </w:r>
      <w:r w:rsidRPr="001C1F99">
        <w:rPr>
          <w:rFonts w:ascii="Garamond" w:eastAsia="Calibri" w:hAnsi="Garamond" w:cs="Times New Roman"/>
          <w:sz w:val="23"/>
          <w:szCs w:val="23"/>
        </w:rPr>
        <w:t xml:space="preserve">i compiti e funzioni del Responsabile per la trasparenza, chiamato a </w:t>
      </w:r>
      <w:r w:rsidRPr="001C1F99">
        <w:rPr>
          <w:rFonts w:ascii="Garamond" w:eastAsia="Calibri" w:hAnsi="Garamond" w:cs="Times New Roman"/>
          <w:i/>
          <w:sz w:val="23"/>
          <w:szCs w:val="23"/>
        </w:rPr>
        <w:t xml:space="preserve">svolgere stabilmente </w:t>
      </w:r>
      <w:proofErr w:type="spellStart"/>
      <w:r w:rsidRPr="001C1F99">
        <w:rPr>
          <w:rFonts w:ascii="Garamond" w:eastAsia="Calibri" w:hAnsi="Garamond" w:cs="Times New Roman"/>
          <w:i/>
          <w:sz w:val="23"/>
          <w:szCs w:val="23"/>
        </w:rPr>
        <w:t>un'attivita'</w:t>
      </w:r>
      <w:proofErr w:type="spellEnd"/>
      <w:r w:rsidRPr="001C1F99">
        <w:rPr>
          <w:rFonts w:ascii="Garamond" w:eastAsia="Calibri" w:hAnsi="Garamond" w:cs="Times New Roman"/>
          <w:i/>
          <w:sz w:val="23"/>
          <w:szCs w:val="23"/>
        </w:rPr>
        <w:t xml:space="preserve"> di controllo sull'adempimento da parte dell'amministrazione degli obblighi di pubblicazione previsti dalla normativa vigente, assicurando la completezza, la chiarezza e l'aggiornamento delle informazioni pubblicate, nonché segnalando all'organo di indirizzo politico, all'Organismo indipendente di valutazione (OIV), all'Autorità' </w:t>
      </w:r>
      <w:r w:rsidRPr="001C1F99">
        <w:rPr>
          <w:rFonts w:ascii="Garamond" w:eastAsia="Calibri" w:hAnsi="Garamond" w:cs="Times New Roman"/>
          <w:i/>
          <w:sz w:val="23"/>
          <w:szCs w:val="23"/>
        </w:rPr>
        <w:lastRenderedPageBreak/>
        <w:t xml:space="preserve">nazionale anticorruzione e, nei casi più gravi, all'ufficio di disciplina i casi di mancato o ritardato adempimento degli obblighi di pubblicazione. </w:t>
      </w:r>
    </w:p>
    <w:p w14:paraId="5D4D3E88" w14:textId="77777777" w:rsidR="001C1F99" w:rsidRPr="001C1F99" w:rsidRDefault="001C1F99" w:rsidP="00582EFE">
      <w:pPr>
        <w:autoSpaceDE w:val="0"/>
        <w:autoSpaceDN w:val="0"/>
        <w:adjustRightInd w:val="0"/>
        <w:spacing w:after="0" w:line="276" w:lineRule="auto"/>
        <w:ind w:left="851" w:hanging="851"/>
        <w:jc w:val="both"/>
        <w:rPr>
          <w:rFonts w:ascii="Garamond" w:eastAsia="Calibri" w:hAnsi="Garamond" w:cs="Times New Roman"/>
          <w:i/>
          <w:sz w:val="23"/>
          <w:szCs w:val="23"/>
        </w:rPr>
      </w:pPr>
      <w:r w:rsidRPr="001C1F99">
        <w:rPr>
          <w:rFonts w:ascii="Garamond" w:eastAsia="Calibri" w:hAnsi="Garamond" w:cs="Times New Roman"/>
          <w:sz w:val="23"/>
          <w:szCs w:val="23"/>
        </w:rPr>
        <w:t>l’art.44</w:t>
      </w:r>
      <w:r w:rsidRPr="001C1F99">
        <w:rPr>
          <w:rFonts w:ascii="Garamond" w:eastAsia="Calibri" w:hAnsi="Garamond" w:cs="Times New Roman"/>
          <w:sz w:val="23"/>
          <w:szCs w:val="23"/>
        </w:rPr>
        <w:tab/>
        <w:t>definisce</w:t>
      </w:r>
      <w:r w:rsidRPr="001C1F99">
        <w:rPr>
          <w:rFonts w:ascii="Garamond" w:eastAsia="Calibri" w:hAnsi="Garamond" w:cs="Times New Roman"/>
          <w:b/>
          <w:sz w:val="23"/>
          <w:szCs w:val="23"/>
        </w:rPr>
        <w:t xml:space="preserve"> </w:t>
      </w:r>
      <w:r w:rsidRPr="001C1F99">
        <w:rPr>
          <w:rFonts w:ascii="Garamond" w:eastAsia="Calibri" w:hAnsi="Garamond" w:cs="Times New Roman"/>
          <w:sz w:val="23"/>
          <w:szCs w:val="23"/>
        </w:rPr>
        <w:t xml:space="preserve">i “compiti degli Organismi Indipendenti di Valutazione”, rimarcando l’interconnessione della materia con quella della performance. Detto Organismo, infatti </w:t>
      </w:r>
      <w:r w:rsidRPr="001C1F99">
        <w:rPr>
          <w:rFonts w:ascii="Garamond" w:eastAsia="Calibri" w:hAnsi="Garamond" w:cs="Times New Roman"/>
          <w:i/>
          <w:sz w:val="23"/>
          <w:szCs w:val="23"/>
        </w:rPr>
        <w:t xml:space="preserve">verifica la coerenza tra gli obiettivi previsti nel </w:t>
      </w:r>
      <w:r w:rsidRPr="001C1F99">
        <w:rPr>
          <w:rFonts w:ascii="Garamond" w:eastAsia="Calibri" w:hAnsi="Garamond" w:cs="Times New Roman"/>
          <w:bCs/>
          <w:i/>
          <w:iCs/>
          <w:sz w:val="23"/>
          <w:szCs w:val="23"/>
        </w:rPr>
        <w:t>Piano triennale per la prevenzione della corruzione</w:t>
      </w:r>
      <w:r w:rsidRPr="001C1F99">
        <w:rPr>
          <w:rFonts w:ascii="Garamond" w:eastAsia="Calibri" w:hAnsi="Garamond" w:cs="Times New Roman"/>
          <w:b/>
          <w:bCs/>
          <w:i/>
          <w:iCs/>
          <w:sz w:val="23"/>
          <w:szCs w:val="23"/>
        </w:rPr>
        <w:t xml:space="preserve"> </w:t>
      </w:r>
      <w:r w:rsidRPr="001C1F99">
        <w:rPr>
          <w:rFonts w:ascii="Garamond" w:eastAsia="Calibri" w:hAnsi="Garamond" w:cs="Times New Roman"/>
          <w:i/>
          <w:sz w:val="23"/>
          <w:szCs w:val="23"/>
        </w:rPr>
        <w:t>e quelli indicati nel Piano della performance, valutando altresì l'adeguatezza dei relativi indicatori</w:t>
      </w:r>
      <w:r w:rsidRPr="001C1F99">
        <w:rPr>
          <w:rFonts w:ascii="Garamond" w:eastAsia="Calibri" w:hAnsi="Garamond" w:cs="Times New Roman"/>
          <w:sz w:val="23"/>
          <w:szCs w:val="23"/>
        </w:rPr>
        <w:t xml:space="preserve">, </w:t>
      </w:r>
      <w:r w:rsidRPr="001C1F99">
        <w:rPr>
          <w:rFonts w:ascii="Garamond" w:eastAsia="Calibri" w:hAnsi="Garamond" w:cs="Times New Roman"/>
          <w:i/>
          <w:sz w:val="23"/>
          <w:szCs w:val="23"/>
        </w:rPr>
        <w:t>utilizzano le informazioni e i dati relativi all'attuazione degli obblighi di trasparenza ai fini della misurazione e valutazione delle performance sia organizzativa, sia individuale del responsabile e dei dirigenti dei singoli uffici responsabili della trasmissione dei dati;</w:t>
      </w:r>
    </w:p>
    <w:p w14:paraId="7764DB2B" w14:textId="77777777" w:rsidR="001C1F99" w:rsidRPr="001C1F99" w:rsidRDefault="001C1F99" w:rsidP="00582EFE">
      <w:pPr>
        <w:autoSpaceDE w:val="0"/>
        <w:autoSpaceDN w:val="0"/>
        <w:adjustRightInd w:val="0"/>
        <w:spacing w:after="0" w:line="276" w:lineRule="auto"/>
        <w:ind w:left="851" w:hanging="851"/>
        <w:jc w:val="both"/>
        <w:rPr>
          <w:rFonts w:ascii="Garamond" w:eastAsia="Calibri" w:hAnsi="Garamond" w:cs="Times New Roman"/>
          <w:bCs/>
          <w:iCs/>
          <w:sz w:val="23"/>
          <w:szCs w:val="23"/>
        </w:rPr>
      </w:pPr>
      <w:r w:rsidRPr="001C1F99">
        <w:rPr>
          <w:rFonts w:ascii="Garamond" w:eastAsia="Calibri" w:hAnsi="Garamond" w:cs="Times New Roman"/>
          <w:sz w:val="23"/>
          <w:szCs w:val="23"/>
        </w:rPr>
        <w:t>l’art.45   definisce i poteri ispettivi dell</w:t>
      </w:r>
      <w:r w:rsidRPr="001C1F99">
        <w:rPr>
          <w:rFonts w:ascii="Garamond" w:eastAsia="Calibri" w:hAnsi="Garamond" w:cs="Times New Roman"/>
          <w:bCs/>
          <w:i/>
          <w:iCs/>
          <w:sz w:val="23"/>
          <w:szCs w:val="23"/>
        </w:rPr>
        <w:t>'Autorità Nazionale Anticorruzione,</w:t>
      </w:r>
      <w:r w:rsidRPr="001C1F99">
        <w:rPr>
          <w:rFonts w:ascii="Garamond" w:eastAsia="Calibri" w:hAnsi="Garamond" w:cs="Times New Roman"/>
          <w:b/>
          <w:bCs/>
          <w:i/>
          <w:iCs/>
          <w:sz w:val="23"/>
          <w:szCs w:val="23"/>
        </w:rPr>
        <w:t xml:space="preserve"> </w:t>
      </w:r>
      <w:r w:rsidRPr="001C1F99">
        <w:rPr>
          <w:rFonts w:ascii="Garamond" w:eastAsia="Calibri" w:hAnsi="Garamond" w:cs="Times New Roman"/>
          <w:sz w:val="23"/>
          <w:szCs w:val="23"/>
        </w:rPr>
        <w:t>nell’ambito dei quali</w:t>
      </w:r>
      <w:r w:rsidRPr="001C1F99">
        <w:rPr>
          <w:rFonts w:ascii="Garamond" w:eastAsia="Calibri" w:hAnsi="Garamond" w:cs="Times New Roman"/>
          <w:bCs/>
          <w:i/>
          <w:iCs/>
          <w:sz w:val="23"/>
          <w:szCs w:val="23"/>
        </w:rPr>
        <w:t xml:space="preserve"> </w:t>
      </w:r>
      <w:r w:rsidRPr="001C1F99">
        <w:rPr>
          <w:rFonts w:ascii="Garamond" w:eastAsia="Calibri" w:hAnsi="Garamond" w:cs="Times New Roman"/>
          <w:bCs/>
          <w:iCs/>
          <w:sz w:val="23"/>
          <w:szCs w:val="23"/>
        </w:rPr>
        <w:t>l’Autorità:</w:t>
      </w:r>
    </w:p>
    <w:p w14:paraId="7338F2CF" w14:textId="77777777" w:rsidR="001C1F99" w:rsidRPr="001C1F99" w:rsidRDefault="001C1F99" w:rsidP="00724C70">
      <w:pPr>
        <w:numPr>
          <w:ilvl w:val="0"/>
          <w:numId w:val="14"/>
        </w:numPr>
        <w:autoSpaceDE w:val="0"/>
        <w:autoSpaceDN w:val="0"/>
        <w:adjustRightInd w:val="0"/>
        <w:spacing w:after="0" w:line="276" w:lineRule="auto"/>
        <w:ind w:left="851" w:hanging="425"/>
        <w:jc w:val="both"/>
        <w:rPr>
          <w:rFonts w:ascii="Garamond" w:eastAsia="Calibri" w:hAnsi="Garamond" w:cs="Times New Roman"/>
          <w:sz w:val="23"/>
          <w:szCs w:val="23"/>
        </w:rPr>
      </w:pPr>
      <w:r w:rsidRPr="001C1F99">
        <w:rPr>
          <w:rFonts w:ascii="Garamond" w:eastAsia="Calibri" w:hAnsi="Garamond" w:cs="Times New Roman"/>
          <w:sz w:val="23"/>
          <w:szCs w:val="23"/>
        </w:rPr>
        <w:t>controlla l'operato dei Responsabili per la trasparenza a cui può chiedere il rendiconto sui risultati del controllo svolto all'interno delle amministrazioni;</w:t>
      </w:r>
    </w:p>
    <w:p w14:paraId="6AC7E881" w14:textId="77777777" w:rsidR="001C1F99" w:rsidRPr="001C1F99" w:rsidRDefault="001C1F99" w:rsidP="00724C70">
      <w:pPr>
        <w:numPr>
          <w:ilvl w:val="0"/>
          <w:numId w:val="14"/>
        </w:numPr>
        <w:autoSpaceDE w:val="0"/>
        <w:autoSpaceDN w:val="0"/>
        <w:adjustRightInd w:val="0"/>
        <w:spacing w:after="0" w:line="276" w:lineRule="auto"/>
        <w:ind w:left="851" w:hanging="425"/>
        <w:jc w:val="both"/>
        <w:rPr>
          <w:rFonts w:ascii="Garamond" w:eastAsia="Calibri" w:hAnsi="Garamond" w:cs="Times New Roman"/>
          <w:sz w:val="23"/>
          <w:szCs w:val="23"/>
        </w:rPr>
      </w:pPr>
      <w:r w:rsidRPr="001C1F99">
        <w:rPr>
          <w:rFonts w:ascii="Garamond" w:eastAsia="Calibri" w:hAnsi="Garamond" w:cs="Times New Roman"/>
          <w:sz w:val="23"/>
          <w:szCs w:val="23"/>
        </w:rPr>
        <w:t>può chiedere all’OIV informazioni sul controllo dell'esatto adempimento degli obblighi di trasparenza previsti dalla normativa vigente;</w:t>
      </w:r>
    </w:p>
    <w:p w14:paraId="122FA011" w14:textId="77777777" w:rsidR="001C1F99" w:rsidRPr="001C1F99" w:rsidRDefault="001C1F99" w:rsidP="00724C70">
      <w:pPr>
        <w:numPr>
          <w:ilvl w:val="0"/>
          <w:numId w:val="15"/>
        </w:numPr>
        <w:autoSpaceDE w:val="0"/>
        <w:autoSpaceDN w:val="0"/>
        <w:adjustRightInd w:val="0"/>
        <w:spacing w:after="0" w:line="276" w:lineRule="auto"/>
        <w:ind w:left="851" w:hanging="425"/>
        <w:jc w:val="both"/>
        <w:rPr>
          <w:rFonts w:ascii="Garamond" w:eastAsia="Calibri" w:hAnsi="Garamond" w:cs="Times New Roman"/>
          <w:sz w:val="23"/>
          <w:szCs w:val="23"/>
        </w:rPr>
      </w:pPr>
      <w:r w:rsidRPr="001C1F99">
        <w:rPr>
          <w:rFonts w:ascii="Garamond" w:eastAsia="Calibri" w:hAnsi="Garamond" w:cs="Times New Roman"/>
          <w:sz w:val="23"/>
          <w:szCs w:val="23"/>
        </w:rPr>
        <w:t>può avvalersi delle banche dati istituite presso la Presidenza del Consiglio dei Ministri - Dipartimento della Funzione Pubblica.</w:t>
      </w:r>
    </w:p>
    <w:p w14:paraId="481C61C0" w14:textId="77777777" w:rsidR="001C1F99" w:rsidRPr="001C1F99" w:rsidRDefault="001C1F99" w:rsidP="00582EFE">
      <w:pPr>
        <w:autoSpaceDE w:val="0"/>
        <w:autoSpaceDN w:val="0"/>
        <w:adjustRightInd w:val="0"/>
        <w:spacing w:after="0" w:line="276" w:lineRule="auto"/>
        <w:ind w:left="851"/>
        <w:jc w:val="both"/>
        <w:rPr>
          <w:rFonts w:ascii="Garamond" w:eastAsia="Calibri" w:hAnsi="Garamond" w:cs="Times New Roman"/>
          <w:bCs/>
          <w:i/>
          <w:iCs/>
          <w:sz w:val="23"/>
          <w:szCs w:val="23"/>
        </w:rPr>
      </w:pPr>
      <w:r w:rsidRPr="001C1F99">
        <w:rPr>
          <w:rFonts w:ascii="Garamond" w:eastAsia="Calibri" w:hAnsi="Garamond" w:cs="Times New Roman"/>
          <w:sz w:val="23"/>
          <w:szCs w:val="23"/>
        </w:rPr>
        <w:t>Il comma 4 dell’articolo, inoltre, stabilisce che “</w:t>
      </w:r>
      <w:r w:rsidRPr="001C1F99">
        <w:rPr>
          <w:rFonts w:ascii="Garamond" w:eastAsia="Calibri" w:hAnsi="Garamond" w:cs="Times New Roman"/>
          <w:bCs/>
          <w:i/>
          <w:iCs/>
          <w:sz w:val="23"/>
          <w:szCs w:val="23"/>
        </w:rPr>
        <w:t xml:space="preserve">Il mancato rispetto dell'obbligo di pubblicazione di cui al comma 1costituisce illecito disciplinare. L'Autorità nazionale anticorruzione segnala l'illecito all'ufficio di cui all'articolo 55-bis, comma 4, del decreto legislativo 30 marzo 2001, n. 165, (UPD) dell'amministrazione interessata ai fini dell'attivazione del procedimento disciplinare a carico del responsabile della pubblicazione o del dirigente tenuto alla trasmissione delle informazioni”. </w:t>
      </w:r>
    </w:p>
    <w:p w14:paraId="03DED7B9" w14:textId="77777777" w:rsidR="001C1F99" w:rsidRPr="001C1F99" w:rsidRDefault="001C1F99" w:rsidP="00582EFE">
      <w:pPr>
        <w:autoSpaceDE w:val="0"/>
        <w:autoSpaceDN w:val="0"/>
        <w:adjustRightInd w:val="0"/>
        <w:spacing w:after="0" w:line="276" w:lineRule="auto"/>
        <w:ind w:left="851"/>
        <w:jc w:val="both"/>
        <w:rPr>
          <w:rFonts w:ascii="Garamond" w:eastAsia="Calibri" w:hAnsi="Garamond" w:cs="Times New Roman"/>
          <w:sz w:val="23"/>
          <w:szCs w:val="23"/>
        </w:rPr>
      </w:pPr>
      <w:r w:rsidRPr="001C1F99">
        <w:rPr>
          <w:rFonts w:ascii="Garamond" w:eastAsia="Calibri" w:hAnsi="Garamond" w:cs="Times New Roman"/>
          <w:bCs/>
          <w:iCs/>
          <w:sz w:val="23"/>
          <w:szCs w:val="23"/>
        </w:rPr>
        <w:t xml:space="preserve">L'Autorità Nazionale Anticorruzione </w:t>
      </w:r>
      <w:r w:rsidRPr="001C1F99">
        <w:rPr>
          <w:rFonts w:ascii="Garamond" w:eastAsia="Calibri" w:hAnsi="Garamond" w:cs="Times New Roman"/>
          <w:sz w:val="23"/>
          <w:szCs w:val="23"/>
        </w:rPr>
        <w:t xml:space="preserve">segnala altresì gli inadempimenti ai vertici politici delle amministrazioni, agli OIV e, se del caso, alla Corte dei conti, ai fini dell'attivazione delle altre forme di responsabilità. </w:t>
      </w:r>
      <w:r w:rsidRPr="001C1F99">
        <w:rPr>
          <w:rFonts w:ascii="Garamond" w:eastAsia="Calibri" w:hAnsi="Garamond" w:cs="Times New Roman"/>
          <w:bCs/>
          <w:iCs/>
          <w:sz w:val="23"/>
          <w:szCs w:val="23"/>
        </w:rPr>
        <w:t xml:space="preserve">L’Autorità Nazionale Anticorruzione </w:t>
      </w:r>
      <w:r w:rsidRPr="001C1F99">
        <w:rPr>
          <w:rFonts w:ascii="Garamond" w:eastAsia="Calibri" w:hAnsi="Garamond" w:cs="Times New Roman"/>
          <w:sz w:val="23"/>
          <w:szCs w:val="23"/>
        </w:rPr>
        <w:t xml:space="preserve">rende pubblici i relativi provvedimenti. </w:t>
      </w:r>
      <w:r w:rsidRPr="001C1F99">
        <w:rPr>
          <w:rFonts w:ascii="Garamond" w:eastAsia="Calibri" w:hAnsi="Garamond" w:cs="Times New Roman"/>
          <w:bCs/>
          <w:iCs/>
          <w:sz w:val="23"/>
          <w:szCs w:val="23"/>
        </w:rPr>
        <w:t>L'autorità nazionale anticorruzione</w:t>
      </w:r>
      <w:r w:rsidRPr="001C1F99">
        <w:rPr>
          <w:rFonts w:ascii="Garamond" w:eastAsia="Calibri" w:hAnsi="Garamond" w:cs="Times New Roman"/>
          <w:sz w:val="23"/>
          <w:szCs w:val="23"/>
        </w:rPr>
        <w:t>, inoltre, controlla e rende noti i casi di mancata attuazione degli obblighi di pubblicazione di cui all'articolo 14 del decreto 33/2013, pubblicando i nominativi dei soggetti interessati per i quali non si è proceduto alla pubblicazione” (attuando, di fatto, un potere sostituivo);</w:t>
      </w:r>
    </w:p>
    <w:p w14:paraId="170686F0" w14:textId="77777777" w:rsidR="001C1F99" w:rsidRPr="001C1F99" w:rsidRDefault="001C1F99" w:rsidP="00582EFE">
      <w:pPr>
        <w:autoSpaceDE w:val="0"/>
        <w:autoSpaceDN w:val="0"/>
        <w:adjustRightInd w:val="0"/>
        <w:spacing w:after="0" w:line="276" w:lineRule="auto"/>
        <w:ind w:left="851" w:hanging="851"/>
        <w:jc w:val="both"/>
        <w:rPr>
          <w:rFonts w:ascii="Garamond" w:eastAsia="Calibri" w:hAnsi="Garamond" w:cs="Times New Roman"/>
          <w:sz w:val="23"/>
          <w:szCs w:val="23"/>
        </w:rPr>
      </w:pPr>
      <w:r w:rsidRPr="001C1F99">
        <w:rPr>
          <w:rFonts w:ascii="Garamond" w:eastAsia="Calibri" w:hAnsi="Garamond" w:cs="Times New Roman"/>
          <w:sz w:val="23"/>
          <w:szCs w:val="23"/>
        </w:rPr>
        <w:t>l’art.46</w:t>
      </w:r>
      <w:r w:rsidRPr="001C1F99">
        <w:rPr>
          <w:rFonts w:ascii="Garamond" w:eastAsia="Calibri" w:hAnsi="Garamond" w:cs="Times New Roman"/>
          <w:b/>
          <w:sz w:val="23"/>
          <w:szCs w:val="23"/>
        </w:rPr>
        <w:t xml:space="preserve">   </w:t>
      </w:r>
      <w:r w:rsidRPr="001C1F99">
        <w:rPr>
          <w:rFonts w:ascii="Garamond" w:eastAsia="Calibri" w:hAnsi="Garamond" w:cs="Times New Roman"/>
          <w:sz w:val="23"/>
          <w:szCs w:val="23"/>
        </w:rPr>
        <w:t xml:space="preserve">definisce le “Responsabilità  derivante dalla violazione delle disposizioni in  materia di obblighi di pubblicazione e di accesso civico”, stabilendo che </w:t>
      </w:r>
      <w:r w:rsidRPr="001C1F99">
        <w:rPr>
          <w:rFonts w:ascii="Garamond" w:eastAsia="Calibri" w:hAnsi="Garamond" w:cs="Times New Roman"/>
          <w:bCs/>
          <w:i/>
          <w:iCs/>
          <w:sz w:val="23"/>
          <w:szCs w:val="23"/>
        </w:rPr>
        <w:t xml:space="preserve"> “L'inadempimento degli obblighi di pubblicazione previsti dalla normativa vigente e il rifiuto, il differimento e la limitazione dell'accesso civico, al di fuori delle ipotesi previste dall'articolo 5-bis, costituiscono elemento di valutazione negativa della responsabilità dirigenziale a cui applicare la sanzione di cui all'articolo 47, comma 1-bis, ed eventuale causa di responsabilità per danno all'immagine dell'amministrazione, valutata ai fini della corresponsione della retribuzione di risultato e del trattamento accessorio collegato alla performance individuale dei responsabili”</w:t>
      </w:r>
      <w:r w:rsidRPr="001C1F99">
        <w:rPr>
          <w:rFonts w:ascii="Garamond" w:eastAsia="Calibri" w:hAnsi="Garamond" w:cs="Times New Roman"/>
          <w:sz w:val="23"/>
          <w:szCs w:val="23"/>
        </w:rPr>
        <w:t>.</w:t>
      </w:r>
    </w:p>
    <w:p w14:paraId="70735789" w14:textId="77777777" w:rsidR="001C1F99" w:rsidRPr="001C1F99" w:rsidRDefault="001C1F99" w:rsidP="00582EFE">
      <w:pPr>
        <w:autoSpaceDE w:val="0"/>
        <w:autoSpaceDN w:val="0"/>
        <w:adjustRightInd w:val="0"/>
        <w:spacing w:after="0" w:line="276" w:lineRule="auto"/>
        <w:ind w:left="851" w:hanging="851"/>
        <w:jc w:val="both"/>
        <w:rPr>
          <w:rFonts w:ascii="Garamond" w:eastAsia="Calibri" w:hAnsi="Garamond" w:cs="Times New Roman"/>
          <w:sz w:val="23"/>
          <w:szCs w:val="23"/>
        </w:rPr>
      </w:pPr>
      <w:r w:rsidRPr="001C1F99">
        <w:rPr>
          <w:rFonts w:ascii="Garamond" w:eastAsia="Calibri" w:hAnsi="Garamond" w:cs="Times New Roman"/>
          <w:sz w:val="23"/>
          <w:szCs w:val="23"/>
        </w:rPr>
        <w:t>l’art.47   infine, definisce le “Sanzioni per la violazione degli obblighi di trasparenza per casi specifici”. (L’articolo è stato di recente inasprito dall’art.1. co. 163 della legge 160/2019 - legge di Bilancio 2020). Di seguito la sintesi delle principali disposizioni ivi contenute:</w:t>
      </w:r>
    </w:p>
    <w:p w14:paraId="13F2255F" w14:textId="77777777" w:rsidR="001C1F99" w:rsidRPr="001C1F99" w:rsidRDefault="001C1F99" w:rsidP="00582EFE">
      <w:pPr>
        <w:autoSpaceDE w:val="0"/>
        <w:autoSpaceDN w:val="0"/>
        <w:adjustRightInd w:val="0"/>
        <w:spacing w:after="0" w:line="276" w:lineRule="auto"/>
        <w:ind w:left="851"/>
        <w:jc w:val="both"/>
        <w:rPr>
          <w:rFonts w:ascii="Garamond" w:eastAsia="Calibri" w:hAnsi="Garamond" w:cs="Times New Roman"/>
          <w:bCs/>
          <w:iCs/>
          <w:sz w:val="23"/>
          <w:szCs w:val="23"/>
        </w:rPr>
      </w:pPr>
      <w:r w:rsidRPr="001C1F99">
        <w:rPr>
          <w:rFonts w:ascii="Garamond" w:eastAsia="Calibri" w:hAnsi="Garamond" w:cs="Times New Roman"/>
          <w:bCs/>
          <w:iCs/>
          <w:sz w:val="23"/>
          <w:szCs w:val="23"/>
        </w:rPr>
        <w:t>Al comma 1 viene stabilita una sanzione amministrativa pecuniaria da un minimo di € 500,00 ad un massimo di € 10.000, da irrogarsi con provvedimento dell’ANAC pubblicato sul sito internet dell’Amministrazione di appartenenza</w:t>
      </w:r>
      <w:r w:rsidRPr="001C1F99">
        <w:rPr>
          <w:rFonts w:ascii="Garamond" w:eastAsia="Calibri" w:hAnsi="Garamond" w:cs="Times New Roman"/>
          <w:b/>
          <w:bCs/>
          <w:iCs/>
          <w:sz w:val="23"/>
          <w:szCs w:val="23"/>
        </w:rPr>
        <w:t xml:space="preserve">. </w:t>
      </w:r>
      <w:r w:rsidRPr="001C1F99">
        <w:rPr>
          <w:rFonts w:ascii="Garamond" w:eastAsia="Calibri" w:hAnsi="Garamond" w:cs="Times New Roman"/>
          <w:bCs/>
          <w:iCs/>
          <w:sz w:val="23"/>
          <w:szCs w:val="23"/>
        </w:rPr>
        <w:t>La sanzione è irrogata, a carico del Dirigente responsabile, a seguito di:</w:t>
      </w:r>
    </w:p>
    <w:p w14:paraId="4B907811" w14:textId="77777777" w:rsidR="001C1F99" w:rsidRPr="001C1F99" w:rsidRDefault="001C1F99" w:rsidP="00724C70">
      <w:pPr>
        <w:numPr>
          <w:ilvl w:val="0"/>
          <w:numId w:val="12"/>
        </w:numPr>
        <w:autoSpaceDE w:val="0"/>
        <w:autoSpaceDN w:val="0"/>
        <w:adjustRightInd w:val="0"/>
        <w:spacing w:after="0" w:line="276" w:lineRule="auto"/>
        <w:ind w:left="1418" w:hanging="567"/>
        <w:jc w:val="both"/>
        <w:rPr>
          <w:rFonts w:ascii="Garamond" w:eastAsia="Calibri" w:hAnsi="Garamond" w:cs="Times New Roman"/>
          <w:bCs/>
          <w:iCs/>
          <w:sz w:val="23"/>
          <w:szCs w:val="23"/>
        </w:rPr>
      </w:pPr>
      <w:r w:rsidRPr="001C1F99">
        <w:rPr>
          <w:rFonts w:ascii="Garamond" w:eastAsia="Calibri" w:hAnsi="Garamond" w:cs="Times New Roman"/>
          <w:bCs/>
          <w:iCs/>
          <w:sz w:val="23"/>
          <w:szCs w:val="23"/>
        </w:rPr>
        <w:t xml:space="preserve">mancata o incompleta comunicazione dei dati di cui all'articolo 4-bis, comma 2; </w:t>
      </w:r>
    </w:p>
    <w:p w14:paraId="005AF3C1" w14:textId="77777777" w:rsidR="001C1F99" w:rsidRPr="001C1F99" w:rsidRDefault="001C1F99" w:rsidP="00724C70">
      <w:pPr>
        <w:numPr>
          <w:ilvl w:val="0"/>
          <w:numId w:val="12"/>
        </w:numPr>
        <w:autoSpaceDE w:val="0"/>
        <w:autoSpaceDN w:val="0"/>
        <w:adjustRightInd w:val="0"/>
        <w:spacing w:after="0" w:line="276" w:lineRule="auto"/>
        <w:ind w:left="1418" w:hanging="567"/>
        <w:jc w:val="both"/>
        <w:rPr>
          <w:rFonts w:ascii="Garamond" w:eastAsia="Calibri" w:hAnsi="Garamond" w:cs="Times New Roman"/>
          <w:bCs/>
          <w:iCs/>
          <w:sz w:val="23"/>
          <w:szCs w:val="23"/>
        </w:rPr>
      </w:pPr>
      <w:r w:rsidRPr="001C1F99">
        <w:rPr>
          <w:rFonts w:ascii="Garamond" w:eastAsia="Calibri" w:hAnsi="Garamond" w:cs="Times New Roman"/>
          <w:bCs/>
          <w:iCs/>
          <w:sz w:val="23"/>
          <w:szCs w:val="23"/>
        </w:rPr>
        <w:t>mancata o incompleta comunicazione delle informazioni e dei dati di cui all'articolo 14, comma 1, 1bis e comma 1-ter;</w:t>
      </w:r>
    </w:p>
    <w:p w14:paraId="3C45E2D8" w14:textId="77777777" w:rsidR="001C1F99" w:rsidRPr="001C1F99" w:rsidRDefault="001C1F99" w:rsidP="00724C70">
      <w:pPr>
        <w:numPr>
          <w:ilvl w:val="0"/>
          <w:numId w:val="12"/>
        </w:numPr>
        <w:autoSpaceDE w:val="0"/>
        <w:autoSpaceDN w:val="0"/>
        <w:adjustRightInd w:val="0"/>
        <w:spacing w:after="0" w:line="276" w:lineRule="auto"/>
        <w:ind w:left="1418" w:hanging="567"/>
        <w:jc w:val="both"/>
        <w:rPr>
          <w:rFonts w:ascii="Garamond" w:eastAsia="Calibri" w:hAnsi="Garamond" w:cs="Times New Roman"/>
          <w:bCs/>
          <w:iCs/>
          <w:sz w:val="23"/>
          <w:szCs w:val="23"/>
        </w:rPr>
      </w:pPr>
      <w:r w:rsidRPr="001C1F99">
        <w:rPr>
          <w:rFonts w:ascii="Garamond" w:eastAsia="Calibri" w:hAnsi="Garamond" w:cs="Times New Roman"/>
          <w:bCs/>
          <w:iCs/>
          <w:sz w:val="23"/>
          <w:szCs w:val="23"/>
        </w:rPr>
        <w:t>mancata pubblicazione dei dati di cui al medesimo articolo 14;</w:t>
      </w:r>
    </w:p>
    <w:p w14:paraId="601C46FE" w14:textId="77777777" w:rsidR="001C1F99" w:rsidRPr="001C1F99" w:rsidRDefault="001C1F99" w:rsidP="00724C70">
      <w:pPr>
        <w:numPr>
          <w:ilvl w:val="0"/>
          <w:numId w:val="12"/>
        </w:numPr>
        <w:autoSpaceDE w:val="0"/>
        <w:autoSpaceDN w:val="0"/>
        <w:adjustRightInd w:val="0"/>
        <w:spacing w:after="0" w:line="276" w:lineRule="auto"/>
        <w:ind w:left="1418" w:hanging="567"/>
        <w:jc w:val="both"/>
        <w:rPr>
          <w:rFonts w:ascii="Garamond" w:eastAsia="Calibri" w:hAnsi="Garamond" w:cs="Times New Roman"/>
          <w:bCs/>
          <w:iCs/>
          <w:sz w:val="23"/>
          <w:szCs w:val="23"/>
        </w:rPr>
      </w:pPr>
      <w:r w:rsidRPr="001C1F99">
        <w:rPr>
          <w:rFonts w:ascii="Garamond" w:eastAsia="Calibri" w:hAnsi="Garamond" w:cs="Times New Roman"/>
          <w:bCs/>
          <w:iCs/>
          <w:sz w:val="23"/>
          <w:szCs w:val="23"/>
        </w:rPr>
        <w:t>la violazione degli obblighi di pubblicazione di cui all'articolo 22, comma 2, dà luogo ad una sanzione amministrativa in carico al responsabile della pubblicazione e nei confronti del responsabile della mancata pubblicazione.</w:t>
      </w:r>
    </w:p>
    <w:p w14:paraId="37DC7449" w14:textId="77777777" w:rsidR="001C1F99" w:rsidRPr="001C1F99" w:rsidRDefault="001C1F99" w:rsidP="00582EFE">
      <w:pPr>
        <w:autoSpaceDE w:val="0"/>
        <w:autoSpaceDN w:val="0"/>
        <w:adjustRightInd w:val="0"/>
        <w:spacing w:after="0" w:line="276" w:lineRule="auto"/>
        <w:ind w:left="851"/>
        <w:jc w:val="both"/>
        <w:rPr>
          <w:rFonts w:ascii="Garamond" w:eastAsia="Calibri" w:hAnsi="Garamond" w:cs="Times New Roman"/>
          <w:bCs/>
          <w:iCs/>
          <w:sz w:val="23"/>
          <w:szCs w:val="23"/>
        </w:rPr>
      </w:pPr>
      <w:r w:rsidRPr="001C1F99">
        <w:rPr>
          <w:rFonts w:ascii="Garamond" w:eastAsia="Calibri" w:hAnsi="Garamond" w:cs="Times New Roman"/>
          <w:bCs/>
          <w:iCs/>
          <w:sz w:val="23"/>
          <w:szCs w:val="23"/>
        </w:rPr>
        <w:lastRenderedPageBreak/>
        <w:t xml:space="preserve">La sanzione amministrativa che l’ANAC può irrogare in tutti i casi suindicati e nel caso di inadempimenti relativi all’accesso civico, consiste nella decurtazione dal 30 al 60 per cento dell'indennità di risultato, ovvero nella decurtazione dal 30 al 60 per cento dell'indennità accessoria percepita dal responsabile della trasparenza. Il relativo provvedimento è pubblicato nel sito internet dell'amministrazione o dell'organismo interessati. </w:t>
      </w:r>
    </w:p>
    <w:p w14:paraId="1F65F195" w14:textId="77777777" w:rsidR="001C1F99" w:rsidRPr="001C1F99" w:rsidRDefault="001C1F99" w:rsidP="00582EFE">
      <w:pPr>
        <w:autoSpaceDE w:val="0"/>
        <w:autoSpaceDN w:val="0"/>
        <w:adjustRightInd w:val="0"/>
        <w:spacing w:after="0" w:line="276" w:lineRule="auto"/>
        <w:ind w:left="851"/>
        <w:jc w:val="both"/>
        <w:rPr>
          <w:rFonts w:ascii="Garamond" w:eastAsia="Calibri" w:hAnsi="Garamond" w:cs="Times New Roman"/>
          <w:sz w:val="23"/>
          <w:szCs w:val="23"/>
        </w:rPr>
      </w:pPr>
      <w:r w:rsidRPr="001C1F99">
        <w:rPr>
          <w:rFonts w:ascii="Garamond" w:eastAsia="Calibri" w:hAnsi="Garamond" w:cs="Times New Roman"/>
          <w:bCs/>
          <w:iCs/>
          <w:sz w:val="23"/>
          <w:szCs w:val="23"/>
        </w:rPr>
        <w:t>La stessa sanzione si applica agli amministratori societari che non comunicano ai soci pubblici il proprio incarico ed il relativo compenso entro trenta giorni dal conferimento ovvero, per le indennità di risultato, entro trenta giorni dal percepimento</w:t>
      </w:r>
      <w:r w:rsidRPr="001C1F99">
        <w:rPr>
          <w:rFonts w:ascii="Garamond" w:eastAsia="Calibri" w:hAnsi="Garamond" w:cs="Times New Roman"/>
          <w:sz w:val="23"/>
          <w:szCs w:val="23"/>
        </w:rPr>
        <w:t>.</w:t>
      </w:r>
    </w:p>
    <w:p w14:paraId="24F1AB89" w14:textId="77777777" w:rsidR="001C1F99" w:rsidRPr="001C1F99" w:rsidRDefault="001C1F99" w:rsidP="00582EFE">
      <w:pPr>
        <w:autoSpaceDE w:val="0"/>
        <w:autoSpaceDN w:val="0"/>
        <w:adjustRightInd w:val="0"/>
        <w:spacing w:after="0" w:line="276" w:lineRule="auto"/>
        <w:ind w:left="426" w:hanging="426"/>
        <w:jc w:val="both"/>
        <w:rPr>
          <w:rFonts w:ascii="Garamond" w:eastAsia="Times New Roman" w:hAnsi="Garamond" w:cs="Times New Roman"/>
          <w:sz w:val="23"/>
          <w:szCs w:val="23"/>
          <w:lang w:eastAsia="it-IT"/>
        </w:rPr>
      </w:pPr>
    </w:p>
    <w:p w14:paraId="664E6868" w14:textId="5D06F9DB" w:rsidR="001C1F99" w:rsidRPr="00AA10A3" w:rsidRDefault="00AA10A3" w:rsidP="00582EFE">
      <w:pPr>
        <w:spacing w:after="0" w:line="276" w:lineRule="auto"/>
        <w:ind w:right="-1"/>
        <w:jc w:val="both"/>
        <w:rPr>
          <w:rFonts w:ascii="Garamond" w:eastAsia="Calibri" w:hAnsi="Garamond" w:cs="Times New Roman"/>
          <w:b/>
          <w:i/>
          <w:smallCaps/>
          <w:sz w:val="23"/>
          <w:szCs w:val="23"/>
        </w:rPr>
      </w:pPr>
      <w:bookmarkStart w:id="95" w:name="_Toc43329255"/>
      <w:bookmarkStart w:id="96" w:name="_Toc44404314"/>
      <w:bookmarkStart w:id="97" w:name="_Toc101344226"/>
      <w:r>
        <w:rPr>
          <w:rFonts w:ascii="Garamond" w:eastAsia="Calibri" w:hAnsi="Garamond" w:cs="Times New Roman"/>
          <w:b/>
          <w:i/>
          <w:smallCaps/>
          <w:sz w:val="23"/>
          <w:szCs w:val="23"/>
        </w:rPr>
        <w:t>R</w:t>
      </w:r>
      <w:r w:rsidRPr="00AA10A3">
        <w:rPr>
          <w:rFonts w:ascii="Garamond" w:eastAsia="Calibri" w:hAnsi="Garamond" w:cs="Times New Roman"/>
          <w:b/>
          <w:i/>
          <w:smallCaps/>
          <w:sz w:val="23"/>
          <w:szCs w:val="23"/>
        </w:rPr>
        <w:t>esponsabilità del dipendente pubblico per violazione delle misure di anticorruzione e trasparenza (dirigenziale, disciplinare e amministrativa)</w:t>
      </w:r>
      <w:bookmarkEnd w:id="95"/>
      <w:bookmarkEnd w:id="96"/>
      <w:bookmarkEnd w:id="97"/>
    </w:p>
    <w:p w14:paraId="5BFB60D0" w14:textId="77777777" w:rsidR="00AA10A3" w:rsidRDefault="00AA10A3" w:rsidP="00582EFE">
      <w:pPr>
        <w:autoSpaceDE w:val="0"/>
        <w:autoSpaceDN w:val="0"/>
        <w:adjustRightInd w:val="0"/>
        <w:spacing w:after="0" w:line="276" w:lineRule="auto"/>
        <w:jc w:val="both"/>
        <w:rPr>
          <w:rFonts w:ascii="Garamond" w:eastAsia="Times New Roman" w:hAnsi="Garamond" w:cs="Times New Roman"/>
          <w:sz w:val="23"/>
          <w:szCs w:val="23"/>
          <w:lang w:eastAsia="it-IT"/>
        </w:rPr>
      </w:pPr>
    </w:p>
    <w:p w14:paraId="69083C1D" w14:textId="4D2D3FF4" w:rsidR="001C1F99" w:rsidRPr="001C1F99" w:rsidRDefault="001C1F99" w:rsidP="00582EFE">
      <w:pPr>
        <w:autoSpaceDE w:val="0"/>
        <w:autoSpaceDN w:val="0"/>
        <w:adjustRightInd w:val="0"/>
        <w:spacing w:after="0" w:line="276" w:lineRule="auto"/>
        <w:jc w:val="both"/>
        <w:rPr>
          <w:rFonts w:ascii="Garamond" w:eastAsia="Times New Roman" w:hAnsi="Garamond" w:cs="Times New Roman"/>
          <w:sz w:val="23"/>
          <w:szCs w:val="23"/>
          <w:lang w:eastAsia="it-IT"/>
        </w:rPr>
      </w:pPr>
      <w:r w:rsidRPr="001C1F99">
        <w:rPr>
          <w:rFonts w:ascii="Garamond" w:eastAsia="Times New Roman" w:hAnsi="Garamond" w:cs="Times New Roman"/>
          <w:sz w:val="23"/>
          <w:szCs w:val="23"/>
          <w:lang w:eastAsia="it-IT"/>
        </w:rPr>
        <w:t>Nell’ambito delle responsabilità dirigenziali</w:t>
      </w:r>
      <w:r w:rsidRPr="001C1F99">
        <w:rPr>
          <w:rFonts w:ascii="Garamond" w:eastAsia="Times New Roman" w:hAnsi="Garamond" w:cs="Times New Roman"/>
          <w:bCs/>
          <w:sz w:val="23"/>
          <w:szCs w:val="23"/>
          <w:lang w:eastAsia="it-IT"/>
        </w:rPr>
        <w:t xml:space="preserve"> </w:t>
      </w:r>
      <w:r w:rsidRPr="001C1F99">
        <w:rPr>
          <w:rFonts w:ascii="Garamond" w:eastAsia="Times New Roman" w:hAnsi="Garamond" w:cs="Times New Roman"/>
          <w:sz w:val="23"/>
          <w:szCs w:val="23"/>
          <w:lang w:eastAsia="it-IT"/>
        </w:rPr>
        <w:t xml:space="preserve">previste per l’inadempimento degli obblighi di anticorruzione e trasparenza, le norme non fanno eccezioni per il RPCT.  </w:t>
      </w:r>
    </w:p>
    <w:p w14:paraId="7BF718AC" w14:textId="77777777" w:rsidR="001C1F99" w:rsidRPr="001C1F99" w:rsidRDefault="001C1F99" w:rsidP="00582EFE">
      <w:pPr>
        <w:autoSpaceDE w:val="0"/>
        <w:autoSpaceDN w:val="0"/>
        <w:adjustRightInd w:val="0"/>
        <w:spacing w:after="0" w:line="276" w:lineRule="auto"/>
        <w:jc w:val="both"/>
        <w:rPr>
          <w:rFonts w:ascii="Garamond" w:eastAsia="Times New Roman" w:hAnsi="Garamond" w:cs="Times New Roman"/>
          <w:sz w:val="23"/>
          <w:szCs w:val="23"/>
          <w:lang w:eastAsia="it-IT"/>
        </w:rPr>
      </w:pPr>
      <w:r w:rsidRPr="001C1F99">
        <w:rPr>
          <w:rFonts w:ascii="Garamond" w:eastAsia="Times New Roman" w:hAnsi="Garamond" w:cs="Times New Roman"/>
          <w:sz w:val="23"/>
          <w:szCs w:val="23"/>
          <w:lang w:eastAsia="it-IT"/>
        </w:rPr>
        <w:t>L’art. 1, co. 12, della legge 190/2012, infatti, prevede l’imputazione di una responsabilità dirigenziale, disciplinare (che</w:t>
      </w:r>
      <w:r w:rsidRPr="001C1F99">
        <w:rPr>
          <w:rFonts w:ascii="Garamond" w:eastAsia="Times New Roman" w:hAnsi="Garamond" w:cs="Times New Roman"/>
          <w:iCs/>
          <w:sz w:val="23"/>
          <w:szCs w:val="23"/>
          <w:lang w:eastAsia="it-IT"/>
        </w:rPr>
        <w:t xml:space="preserve"> non può essere inferiore alla sospensione dal servizio con privazione della retribuzione da un minimo di un mese ad un massimo di sei mesi</w:t>
      </w:r>
      <w:r w:rsidRPr="001C1F99">
        <w:rPr>
          <w:rFonts w:ascii="Garamond" w:eastAsia="Times New Roman" w:hAnsi="Garamond" w:cs="Times New Roman"/>
          <w:sz w:val="23"/>
          <w:szCs w:val="23"/>
          <w:lang w:eastAsia="it-IT"/>
        </w:rPr>
        <w:t xml:space="preserve">) ed amministrativa in capo al RPCT nel caso in cui a carico di un soggetto dell'amministrazione vi sia una condanna per un reato di corruzione accertato con sentenza passata in giudicato. </w:t>
      </w:r>
    </w:p>
    <w:p w14:paraId="517A6D27" w14:textId="77777777" w:rsidR="001C1F99" w:rsidRPr="001C1F99" w:rsidRDefault="001C1F99" w:rsidP="00582EFE">
      <w:pPr>
        <w:autoSpaceDE w:val="0"/>
        <w:autoSpaceDN w:val="0"/>
        <w:adjustRightInd w:val="0"/>
        <w:spacing w:after="0" w:line="276" w:lineRule="auto"/>
        <w:jc w:val="both"/>
        <w:rPr>
          <w:rFonts w:ascii="Garamond" w:eastAsia="Times New Roman" w:hAnsi="Garamond" w:cs="Times New Roman"/>
          <w:sz w:val="23"/>
          <w:szCs w:val="23"/>
          <w:lang w:eastAsia="it-IT"/>
        </w:rPr>
      </w:pPr>
      <w:r w:rsidRPr="001C1F99">
        <w:rPr>
          <w:rFonts w:ascii="Garamond" w:eastAsia="Times New Roman" w:hAnsi="Garamond" w:cs="Times New Roman"/>
          <w:sz w:val="23"/>
          <w:szCs w:val="23"/>
          <w:lang w:eastAsia="it-IT"/>
        </w:rPr>
        <w:t xml:space="preserve">La responsabilità è esclusa solo ove il RPCT provi entrambe le circostanze sotto riportate: </w:t>
      </w:r>
    </w:p>
    <w:p w14:paraId="60BA55F2" w14:textId="77777777" w:rsidR="001C1F99" w:rsidRPr="001C1F99" w:rsidRDefault="001C1F99" w:rsidP="00582EFE">
      <w:pPr>
        <w:autoSpaceDE w:val="0"/>
        <w:autoSpaceDN w:val="0"/>
        <w:adjustRightInd w:val="0"/>
        <w:spacing w:after="0" w:line="276" w:lineRule="auto"/>
        <w:ind w:left="708" w:hanging="424"/>
        <w:jc w:val="both"/>
        <w:rPr>
          <w:rFonts w:ascii="Garamond" w:eastAsia="Times New Roman" w:hAnsi="Garamond" w:cs="Times New Roman"/>
          <w:sz w:val="23"/>
          <w:szCs w:val="23"/>
          <w:lang w:eastAsia="it-IT"/>
        </w:rPr>
      </w:pPr>
      <w:r w:rsidRPr="001C1F99">
        <w:rPr>
          <w:rFonts w:ascii="Garamond" w:eastAsia="Times New Roman" w:hAnsi="Garamond" w:cs="Times New Roman"/>
          <w:sz w:val="23"/>
          <w:szCs w:val="23"/>
          <w:lang w:eastAsia="it-IT"/>
        </w:rPr>
        <w:t xml:space="preserve">a) </w:t>
      </w:r>
      <w:r w:rsidRPr="001C1F99">
        <w:rPr>
          <w:rFonts w:ascii="Garamond" w:eastAsia="Times New Roman" w:hAnsi="Garamond" w:cs="Times New Roman"/>
          <w:sz w:val="23"/>
          <w:szCs w:val="23"/>
          <w:lang w:eastAsia="it-IT"/>
        </w:rPr>
        <w:tab/>
        <w:t xml:space="preserve">di avere predisposto, prima della commissione del fatto, il Piano di prevenzione e di aver osservato le prescrizioni di cui ai commi 9 e 10 dello stesso articolo 1 della L.190/2012; </w:t>
      </w:r>
    </w:p>
    <w:p w14:paraId="67800A84" w14:textId="77777777" w:rsidR="001C1F99" w:rsidRPr="001C1F99" w:rsidRDefault="001C1F99" w:rsidP="00582EFE">
      <w:pPr>
        <w:autoSpaceDE w:val="0"/>
        <w:autoSpaceDN w:val="0"/>
        <w:adjustRightInd w:val="0"/>
        <w:spacing w:after="0" w:line="276" w:lineRule="auto"/>
        <w:ind w:left="284"/>
        <w:jc w:val="both"/>
        <w:rPr>
          <w:rFonts w:ascii="Garamond" w:eastAsia="Times New Roman" w:hAnsi="Garamond" w:cs="Times New Roman"/>
          <w:sz w:val="23"/>
          <w:szCs w:val="23"/>
          <w:lang w:eastAsia="it-IT"/>
        </w:rPr>
      </w:pPr>
      <w:r w:rsidRPr="001C1F99">
        <w:rPr>
          <w:rFonts w:ascii="Garamond" w:eastAsia="Times New Roman" w:hAnsi="Garamond" w:cs="Times New Roman"/>
          <w:sz w:val="23"/>
          <w:szCs w:val="23"/>
          <w:lang w:eastAsia="it-IT"/>
        </w:rPr>
        <w:t xml:space="preserve">b) </w:t>
      </w:r>
      <w:r w:rsidRPr="001C1F99">
        <w:rPr>
          <w:rFonts w:ascii="Garamond" w:eastAsia="Times New Roman" w:hAnsi="Garamond" w:cs="Times New Roman"/>
          <w:sz w:val="23"/>
          <w:szCs w:val="23"/>
          <w:lang w:eastAsia="it-IT"/>
        </w:rPr>
        <w:tab/>
        <w:t xml:space="preserve">di aver vigilato sul funzionamento e sull'osservanza del piano. </w:t>
      </w:r>
    </w:p>
    <w:p w14:paraId="36204F7B" w14:textId="77777777" w:rsidR="001C1F99" w:rsidRPr="001C1F99" w:rsidRDefault="001C1F99" w:rsidP="00582EFE">
      <w:pPr>
        <w:autoSpaceDE w:val="0"/>
        <w:autoSpaceDN w:val="0"/>
        <w:adjustRightInd w:val="0"/>
        <w:spacing w:after="0" w:line="276" w:lineRule="auto"/>
        <w:jc w:val="both"/>
        <w:rPr>
          <w:rFonts w:ascii="Garamond" w:eastAsia="Times New Roman" w:hAnsi="Garamond" w:cs="Times New Roman"/>
          <w:i/>
          <w:iCs/>
          <w:sz w:val="23"/>
          <w:szCs w:val="23"/>
          <w:lang w:eastAsia="it-IT"/>
        </w:rPr>
      </w:pPr>
      <w:r w:rsidRPr="001C1F99">
        <w:rPr>
          <w:rFonts w:ascii="Garamond" w:eastAsia="Times New Roman" w:hAnsi="Garamond" w:cs="Times New Roman"/>
          <w:sz w:val="23"/>
          <w:szCs w:val="23"/>
          <w:lang w:eastAsia="it-IT"/>
        </w:rPr>
        <w:t>L’art. 1, co. 14, della stessa L. 190/2012, precisa poi che: “</w:t>
      </w:r>
      <w:r w:rsidRPr="001C1F99">
        <w:rPr>
          <w:rFonts w:ascii="Garamond" w:eastAsia="Times New Roman" w:hAnsi="Garamond" w:cs="Times New Roman"/>
          <w:i/>
          <w:iCs/>
          <w:sz w:val="23"/>
          <w:szCs w:val="23"/>
          <w:lang w:eastAsia="it-IT"/>
        </w:rPr>
        <w:t xml:space="preserve">In caso di ripetute violazioni delle misure di prevenzione previste dal Piano, il responsabile individuato ai sensi del comma 7 del presente articolo risponde ai sensi dell'articolo 21 del decreto legislativo 30 marzo 2001, n. 165, e successive modificazioni, nonché, per omesso controllo, sul piano disciplinare, salvo che provi di avere comunicato agli uffici le misure da adottare e le relative modalità e di avere vigilato sull'osservanza del Piano….”. </w:t>
      </w:r>
    </w:p>
    <w:p w14:paraId="1096003F" w14:textId="77777777" w:rsidR="001C1F99" w:rsidRPr="001C1F99" w:rsidRDefault="001C1F99" w:rsidP="00582EFE">
      <w:pPr>
        <w:autoSpaceDE w:val="0"/>
        <w:autoSpaceDN w:val="0"/>
        <w:adjustRightInd w:val="0"/>
        <w:spacing w:after="0" w:line="276" w:lineRule="auto"/>
        <w:jc w:val="both"/>
        <w:rPr>
          <w:rFonts w:ascii="Garamond" w:eastAsia="Times New Roman" w:hAnsi="Garamond" w:cs="Times New Roman"/>
          <w:sz w:val="23"/>
          <w:szCs w:val="23"/>
          <w:lang w:eastAsia="it-IT"/>
        </w:rPr>
      </w:pPr>
      <w:r w:rsidRPr="001C1F99">
        <w:rPr>
          <w:rFonts w:ascii="Garamond" w:eastAsia="Times New Roman" w:hAnsi="Garamond" w:cs="Times New Roman"/>
          <w:sz w:val="23"/>
          <w:szCs w:val="23"/>
          <w:lang w:eastAsia="it-IT"/>
        </w:rPr>
        <w:t xml:space="preserve">La responsabilità in caso di inadempienza alle disposizioni in materia di trasparenza e anticorruzione è posta anche nei confronti dei dirigenti, funzionari e dipendenti dell’Amministrazione, che rispondono in maniera rilevante proprio in ragione del ruolo fondamentale ricoperto da tutti i dipendenti pubblici ai fini dell’attuazione del sistema di gestione del rischio corruttivo. Si richiama in proposito, anche il Codice di Comportamento dei dipendenti regionali di cui alla DGR n. 983 del 20/12/2018, in particolare gli articoli 9, 10 e 14 secondo cui </w:t>
      </w:r>
      <w:r w:rsidRPr="001C1F99">
        <w:rPr>
          <w:rFonts w:ascii="Garamond" w:eastAsia="Times New Roman" w:hAnsi="Garamond" w:cs="Times New Roman"/>
          <w:i/>
          <w:iCs/>
          <w:sz w:val="23"/>
          <w:szCs w:val="23"/>
          <w:lang w:eastAsia="it-IT"/>
        </w:rPr>
        <w:t>la violazione delle misure di prevenzione previste dal piano costituisce illecito disciplinare</w:t>
      </w:r>
      <w:r w:rsidRPr="001C1F99">
        <w:rPr>
          <w:rFonts w:ascii="Garamond" w:eastAsia="Times New Roman" w:hAnsi="Garamond" w:cs="Times New Roman"/>
          <w:sz w:val="23"/>
          <w:szCs w:val="23"/>
          <w:lang w:eastAsia="it-IT"/>
        </w:rPr>
        <w:t>.</w:t>
      </w:r>
    </w:p>
    <w:p w14:paraId="65942D34" w14:textId="77777777" w:rsidR="001C1F99" w:rsidRPr="001C1F99" w:rsidRDefault="001C1F99" w:rsidP="00582EFE">
      <w:pPr>
        <w:autoSpaceDE w:val="0"/>
        <w:autoSpaceDN w:val="0"/>
        <w:adjustRightInd w:val="0"/>
        <w:spacing w:after="0" w:line="276" w:lineRule="auto"/>
        <w:jc w:val="both"/>
        <w:rPr>
          <w:rFonts w:ascii="Garamond" w:eastAsia="Times New Roman" w:hAnsi="Garamond" w:cs="Times New Roman"/>
          <w:sz w:val="23"/>
          <w:szCs w:val="23"/>
          <w:lang w:eastAsia="it-IT"/>
        </w:rPr>
      </w:pPr>
      <w:r w:rsidRPr="001C1F99">
        <w:rPr>
          <w:rFonts w:ascii="Garamond" w:eastAsia="Times New Roman" w:hAnsi="Garamond" w:cs="Times New Roman"/>
          <w:sz w:val="23"/>
          <w:szCs w:val="23"/>
          <w:lang w:eastAsia="it-IT"/>
        </w:rPr>
        <w:t xml:space="preserve">Anche il dipendente che non ricopre particolari incarichi, pertanto, può incorrere in un illecito disciplinare nei casi in cui non osservi le misure del Piano. </w:t>
      </w:r>
    </w:p>
    <w:p w14:paraId="00970633" w14:textId="77777777" w:rsidR="001C1F99" w:rsidRPr="001C1F99" w:rsidRDefault="001C1F99" w:rsidP="00582EFE">
      <w:pPr>
        <w:autoSpaceDE w:val="0"/>
        <w:autoSpaceDN w:val="0"/>
        <w:adjustRightInd w:val="0"/>
        <w:spacing w:after="0" w:line="276" w:lineRule="auto"/>
        <w:jc w:val="both"/>
        <w:rPr>
          <w:rFonts w:ascii="Garamond" w:eastAsia="Times New Roman" w:hAnsi="Garamond" w:cs="Times New Roman"/>
          <w:sz w:val="23"/>
          <w:szCs w:val="23"/>
          <w:lang w:eastAsia="it-IT"/>
        </w:rPr>
      </w:pPr>
      <w:r w:rsidRPr="001C1F99">
        <w:rPr>
          <w:rFonts w:ascii="Garamond" w:eastAsia="Times New Roman" w:hAnsi="Garamond" w:cs="Times New Roman"/>
          <w:sz w:val="23"/>
          <w:szCs w:val="23"/>
          <w:lang w:eastAsia="it-IT"/>
        </w:rPr>
        <w:t xml:space="preserve">Tra le misure da osservare si evidenziano a mero titolo esemplificativo: </w:t>
      </w:r>
    </w:p>
    <w:p w14:paraId="3CD591FE" w14:textId="0857AFA8" w:rsidR="001C1F99" w:rsidRPr="001C1F99" w:rsidRDefault="001C1F99" w:rsidP="00724C70">
      <w:pPr>
        <w:numPr>
          <w:ilvl w:val="0"/>
          <w:numId w:val="16"/>
        </w:numPr>
        <w:autoSpaceDE w:val="0"/>
        <w:autoSpaceDN w:val="0"/>
        <w:adjustRightInd w:val="0"/>
        <w:spacing w:after="0" w:line="276" w:lineRule="auto"/>
        <w:ind w:hanging="436"/>
        <w:jc w:val="both"/>
        <w:rPr>
          <w:rFonts w:ascii="Garamond" w:eastAsia="Times New Roman" w:hAnsi="Garamond" w:cs="Times New Roman"/>
          <w:sz w:val="23"/>
          <w:szCs w:val="23"/>
          <w:lang w:eastAsia="it-IT"/>
        </w:rPr>
      </w:pPr>
      <w:r w:rsidRPr="001C1F99">
        <w:rPr>
          <w:rFonts w:ascii="Garamond" w:eastAsia="Times New Roman" w:hAnsi="Garamond" w:cs="Times New Roman"/>
          <w:sz w:val="23"/>
          <w:szCs w:val="23"/>
          <w:lang w:eastAsia="it-IT"/>
        </w:rPr>
        <w:t>la partecipazione ai percorsi di formazione predisposti sui Codici di comportamento</w:t>
      </w:r>
      <w:r w:rsidR="00083AC2">
        <w:rPr>
          <w:rFonts w:ascii="Garamond" w:eastAsia="Times New Roman" w:hAnsi="Garamond" w:cs="Times New Roman"/>
          <w:sz w:val="23"/>
          <w:szCs w:val="23"/>
          <w:lang w:eastAsia="it-IT"/>
        </w:rPr>
        <w:t>, sui</w:t>
      </w:r>
      <w:r w:rsidRPr="001C1F99">
        <w:rPr>
          <w:rFonts w:ascii="Garamond" w:eastAsia="Times New Roman" w:hAnsi="Garamond" w:cs="Times New Roman"/>
          <w:sz w:val="23"/>
          <w:szCs w:val="23"/>
          <w:lang w:eastAsia="it-IT"/>
        </w:rPr>
        <w:t xml:space="preserve"> </w:t>
      </w:r>
      <w:r w:rsidR="00083AC2">
        <w:rPr>
          <w:rFonts w:ascii="Garamond" w:eastAsia="Times New Roman" w:hAnsi="Garamond" w:cs="Times New Roman"/>
          <w:sz w:val="23"/>
          <w:szCs w:val="23"/>
          <w:lang w:eastAsia="it-IT"/>
        </w:rPr>
        <w:t>Piani per la Prevenzione della Corruzione e la Trasparenza</w:t>
      </w:r>
      <w:r w:rsidRPr="001C1F99">
        <w:rPr>
          <w:rFonts w:ascii="Garamond" w:eastAsia="Times New Roman" w:hAnsi="Garamond" w:cs="Times New Roman"/>
          <w:sz w:val="23"/>
          <w:szCs w:val="23"/>
          <w:lang w:eastAsia="it-IT"/>
        </w:rPr>
        <w:t xml:space="preserve"> e sulle misure di contrasto all’illeg</w:t>
      </w:r>
      <w:r w:rsidR="00083AC2">
        <w:rPr>
          <w:rFonts w:ascii="Garamond" w:eastAsia="Times New Roman" w:hAnsi="Garamond" w:cs="Times New Roman"/>
          <w:sz w:val="23"/>
          <w:szCs w:val="23"/>
          <w:lang w:eastAsia="it-IT"/>
        </w:rPr>
        <w:t>alità e ai fenomeni corruttivi;</w:t>
      </w:r>
    </w:p>
    <w:p w14:paraId="684E9158" w14:textId="77777777" w:rsidR="001C1F99" w:rsidRPr="001C1F99" w:rsidRDefault="001C1F99" w:rsidP="00724C70">
      <w:pPr>
        <w:numPr>
          <w:ilvl w:val="0"/>
          <w:numId w:val="16"/>
        </w:numPr>
        <w:autoSpaceDE w:val="0"/>
        <w:autoSpaceDN w:val="0"/>
        <w:adjustRightInd w:val="0"/>
        <w:spacing w:after="0" w:line="276" w:lineRule="auto"/>
        <w:ind w:hanging="436"/>
        <w:jc w:val="both"/>
        <w:rPr>
          <w:rFonts w:ascii="Garamond" w:eastAsia="Times New Roman" w:hAnsi="Garamond" w:cs="Times New Roman"/>
          <w:sz w:val="23"/>
          <w:szCs w:val="23"/>
          <w:lang w:eastAsia="it-IT"/>
        </w:rPr>
      </w:pPr>
      <w:r w:rsidRPr="001C1F99">
        <w:rPr>
          <w:rFonts w:ascii="Garamond" w:eastAsia="Times New Roman" w:hAnsi="Garamond" w:cs="Times New Roman"/>
          <w:sz w:val="23"/>
          <w:szCs w:val="23"/>
          <w:lang w:eastAsia="it-IT"/>
        </w:rPr>
        <w:t xml:space="preserve">la mancata o incompleta pubblicazione delle informazioni di cui al D.lgs. n. 33/2013, da parte del soggetto obbligato in base al presente Piano; </w:t>
      </w:r>
    </w:p>
    <w:p w14:paraId="292ABAA1" w14:textId="77777777" w:rsidR="001C1F99" w:rsidRPr="001C1F99" w:rsidRDefault="001C1F99" w:rsidP="00724C70">
      <w:pPr>
        <w:numPr>
          <w:ilvl w:val="0"/>
          <w:numId w:val="16"/>
        </w:numPr>
        <w:autoSpaceDE w:val="0"/>
        <w:autoSpaceDN w:val="0"/>
        <w:adjustRightInd w:val="0"/>
        <w:spacing w:after="0" w:line="276" w:lineRule="auto"/>
        <w:ind w:hanging="436"/>
        <w:jc w:val="both"/>
        <w:rPr>
          <w:rFonts w:ascii="Garamond" w:eastAsia="Times New Roman" w:hAnsi="Garamond" w:cs="Times New Roman"/>
          <w:sz w:val="23"/>
          <w:szCs w:val="23"/>
          <w:lang w:eastAsia="it-IT"/>
        </w:rPr>
      </w:pPr>
      <w:r w:rsidRPr="001C1F99">
        <w:rPr>
          <w:rFonts w:ascii="Garamond" w:eastAsia="Times New Roman" w:hAnsi="Garamond" w:cs="Times New Roman"/>
          <w:sz w:val="23"/>
          <w:szCs w:val="23"/>
          <w:lang w:eastAsia="it-IT"/>
        </w:rPr>
        <w:t>la inosservanza degli indirizzi della Giunta e del RPCT, formalizzati in appositi atti, per l’attuazione delle misure obbligatorie o ulteriori;</w:t>
      </w:r>
    </w:p>
    <w:p w14:paraId="67468E46" w14:textId="77777777" w:rsidR="001C1F99" w:rsidRPr="001C1F99" w:rsidRDefault="001C1F99" w:rsidP="00724C70">
      <w:pPr>
        <w:numPr>
          <w:ilvl w:val="0"/>
          <w:numId w:val="16"/>
        </w:numPr>
        <w:autoSpaceDE w:val="0"/>
        <w:autoSpaceDN w:val="0"/>
        <w:adjustRightInd w:val="0"/>
        <w:spacing w:after="0" w:line="276" w:lineRule="auto"/>
        <w:ind w:hanging="436"/>
        <w:jc w:val="both"/>
        <w:rPr>
          <w:rFonts w:ascii="Garamond" w:eastAsia="Times New Roman" w:hAnsi="Garamond" w:cs="Times New Roman"/>
          <w:sz w:val="23"/>
          <w:szCs w:val="23"/>
          <w:lang w:eastAsia="it-IT"/>
        </w:rPr>
      </w:pPr>
      <w:r w:rsidRPr="001C1F99">
        <w:rPr>
          <w:rFonts w:ascii="Garamond" w:eastAsia="Times New Roman" w:hAnsi="Garamond" w:cs="Times New Roman"/>
          <w:sz w:val="23"/>
          <w:szCs w:val="23"/>
          <w:lang w:eastAsia="it-IT"/>
        </w:rPr>
        <w:t>la mancata segnalazione di possibili conflitti di interesse in relazione alle pratiche assegnate;</w:t>
      </w:r>
    </w:p>
    <w:p w14:paraId="552DC4B1" w14:textId="612BFC19" w:rsidR="001C1F99" w:rsidRDefault="001C1F99" w:rsidP="00724C70">
      <w:pPr>
        <w:numPr>
          <w:ilvl w:val="0"/>
          <w:numId w:val="16"/>
        </w:numPr>
        <w:autoSpaceDE w:val="0"/>
        <w:autoSpaceDN w:val="0"/>
        <w:adjustRightInd w:val="0"/>
        <w:spacing w:after="0" w:line="276" w:lineRule="auto"/>
        <w:ind w:hanging="436"/>
        <w:jc w:val="both"/>
        <w:rPr>
          <w:rFonts w:ascii="Garamond" w:eastAsia="Times New Roman" w:hAnsi="Garamond" w:cs="Times New Roman"/>
          <w:sz w:val="23"/>
          <w:szCs w:val="23"/>
          <w:lang w:eastAsia="it-IT"/>
        </w:rPr>
      </w:pPr>
      <w:r w:rsidRPr="001C1F99">
        <w:rPr>
          <w:rFonts w:ascii="Garamond" w:eastAsia="Times New Roman" w:hAnsi="Garamond" w:cs="Times New Roman"/>
          <w:sz w:val="23"/>
          <w:szCs w:val="23"/>
          <w:lang w:eastAsia="it-IT"/>
        </w:rPr>
        <w:t>la mancata segnalazione di possibili fatti corruttivi di cui può venire a conoscenza.</w:t>
      </w:r>
      <w:bookmarkEnd w:id="70"/>
    </w:p>
    <w:p w14:paraId="6F733E18" w14:textId="5C9C1A24" w:rsidR="00AD73B8" w:rsidRDefault="00AD73B8" w:rsidP="00582EFE">
      <w:pPr>
        <w:autoSpaceDE w:val="0"/>
        <w:autoSpaceDN w:val="0"/>
        <w:adjustRightInd w:val="0"/>
        <w:spacing w:after="0" w:line="276" w:lineRule="auto"/>
        <w:jc w:val="both"/>
        <w:rPr>
          <w:rFonts w:ascii="Garamond" w:eastAsia="Times New Roman" w:hAnsi="Garamond" w:cs="Times New Roman"/>
          <w:sz w:val="23"/>
          <w:szCs w:val="23"/>
          <w:lang w:eastAsia="it-IT"/>
        </w:rPr>
      </w:pPr>
    </w:p>
    <w:p w14:paraId="36E23446" w14:textId="64D0EBB7" w:rsidR="00BF32B8" w:rsidRDefault="00BF32B8" w:rsidP="00582EFE">
      <w:pPr>
        <w:spacing w:after="0" w:line="276" w:lineRule="auto"/>
        <w:rPr>
          <w:rFonts w:ascii="Garamond" w:eastAsia="Times New Roman" w:hAnsi="Garamond" w:cs="Times New Roman"/>
          <w:sz w:val="23"/>
          <w:szCs w:val="23"/>
          <w:lang w:eastAsia="it-IT"/>
        </w:rPr>
      </w:pPr>
      <w:r>
        <w:rPr>
          <w:rFonts w:ascii="Garamond" w:eastAsia="Times New Roman" w:hAnsi="Garamond" w:cs="Times New Roman"/>
          <w:sz w:val="23"/>
          <w:szCs w:val="23"/>
          <w:lang w:eastAsia="it-IT"/>
        </w:rPr>
        <w:lastRenderedPageBreak/>
        <w:br w:type="page"/>
      </w:r>
    </w:p>
    <w:p w14:paraId="329A6CB0" w14:textId="2D27968D" w:rsidR="00D938BC" w:rsidRPr="007C32DD" w:rsidRDefault="007C32DD" w:rsidP="00582EFE">
      <w:pPr>
        <w:spacing w:after="0" w:line="276" w:lineRule="auto"/>
        <w:jc w:val="both"/>
        <w:outlineLvl w:val="0"/>
        <w:rPr>
          <w:rFonts w:ascii="Garamond" w:eastAsia="Calibri" w:hAnsi="Garamond" w:cs="Times New Roman"/>
          <w:b/>
          <w:sz w:val="28"/>
          <w:szCs w:val="28"/>
        </w:rPr>
      </w:pPr>
      <w:bookmarkStart w:id="98" w:name="_Toc102136709"/>
      <w:r>
        <w:rPr>
          <w:rFonts w:ascii="Garamond" w:eastAsia="Calibri" w:hAnsi="Garamond" w:cs="Times New Roman"/>
          <w:b/>
          <w:sz w:val="28"/>
          <w:szCs w:val="28"/>
        </w:rPr>
        <w:lastRenderedPageBreak/>
        <w:t>ALLEGATI SOTTOSEZIONE 2.4</w:t>
      </w:r>
      <w:bookmarkEnd w:id="98"/>
    </w:p>
    <w:p w14:paraId="2C59F0F9" w14:textId="77777777" w:rsidR="007C32DD" w:rsidRDefault="007C32DD" w:rsidP="00582EFE">
      <w:pPr>
        <w:autoSpaceDE w:val="0"/>
        <w:autoSpaceDN w:val="0"/>
        <w:adjustRightInd w:val="0"/>
        <w:spacing w:after="0" w:line="276" w:lineRule="auto"/>
        <w:jc w:val="both"/>
        <w:rPr>
          <w:rFonts w:ascii="Garamond" w:eastAsia="Times New Roman" w:hAnsi="Garamond" w:cs="Times New Roman"/>
          <w:sz w:val="23"/>
          <w:szCs w:val="23"/>
          <w:lang w:eastAsia="it-IT"/>
        </w:rPr>
      </w:pPr>
    </w:p>
    <w:p w14:paraId="7CA96A1A" w14:textId="1380EDBA" w:rsidR="007C32DD" w:rsidRDefault="007C32DD" w:rsidP="00E71C6E">
      <w:pPr>
        <w:pStyle w:val="Paragrafoelenco"/>
        <w:numPr>
          <w:ilvl w:val="0"/>
          <w:numId w:val="23"/>
        </w:numPr>
        <w:autoSpaceDE w:val="0"/>
        <w:autoSpaceDN w:val="0"/>
        <w:adjustRightInd w:val="0"/>
        <w:spacing w:after="120" w:line="276" w:lineRule="auto"/>
        <w:ind w:left="714" w:hanging="357"/>
        <w:contextualSpacing w:val="0"/>
        <w:jc w:val="both"/>
        <w:rPr>
          <w:rFonts w:ascii="Garamond" w:eastAsia="Times New Roman" w:hAnsi="Garamond" w:cs="Times New Roman"/>
          <w:sz w:val="23"/>
          <w:szCs w:val="23"/>
          <w:lang w:eastAsia="it-IT"/>
        </w:rPr>
      </w:pPr>
      <w:r w:rsidRPr="00BF32B8">
        <w:rPr>
          <w:rFonts w:ascii="Garamond" w:eastAsia="Times New Roman" w:hAnsi="Garamond" w:cs="Times New Roman"/>
          <w:sz w:val="23"/>
          <w:szCs w:val="23"/>
          <w:lang w:eastAsia="it-IT"/>
        </w:rPr>
        <w:t>Allegato A - Mappatura dei Processi Trasversali e Specifici con l’indicazione del Livello di Rischio corruttivo e le correlate Misure Specifiche di Prevenzione della Corruzione;</w:t>
      </w:r>
    </w:p>
    <w:p w14:paraId="542CA6E0" w14:textId="712026A2" w:rsidR="009E6815" w:rsidRPr="00BF32B8" w:rsidRDefault="009E6815" w:rsidP="00E71C6E">
      <w:pPr>
        <w:pStyle w:val="Paragrafoelenco"/>
        <w:numPr>
          <w:ilvl w:val="0"/>
          <w:numId w:val="23"/>
        </w:numPr>
        <w:autoSpaceDE w:val="0"/>
        <w:autoSpaceDN w:val="0"/>
        <w:adjustRightInd w:val="0"/>
        <w:spacing w:after="120" w:line="276" w:lineRule="auto"/>
        <w:ind w:left="714" w:hanging="357"/>
        <w:contextualSpacing w:val="0"/>
        <w:jc w:val="both"/>
        <w:rPr>
          <w:rFonts w:ascii="Garamond" w:eastAsia="Times New Roman" w:hAnsi="Garamond" w:cs="Times New Roman"/>
          <w:sz w:val="23"/>
          <w:szCs w:val="23"/>
          <w:lang w:eastAsia="it-IT"/>
        </w:rPr>
      </w:pPr>
      <w:r>
        <w:rPr>
          <w:rFonts w:ascii="Garamond" w:eastAsia="Times New Roman" w:hAnsi="Garamond" w:cs="Times New Roman"/>
          <w:sz w:val="23"/>
          <w:szCs w:val="23"/>
          <w:lang w:eastAsia="it-IT"/>
        </w:rPr>
        <w:t xml:space="preserve">Allegato A bis – </w:t>
      </w:r>
      <w:r w:rsidR="00E71C6E">
        <w:rPr>
          <w:rFonts w:ascii="Garamond" w:eastAsia="Times New Roman" w:hAnsi="Garamond" w:cs="Times New Roman"/>
          <w:sz w:val="23"/>
          <w:szCs w:val="23"/>
          <w:lang w:eastAsia="it-IT"/>
        </w:rPr>
        <w:t>Processi T</w:t>
      </w:r>
      <w:r>
        <w:rPr>
          <w:rFonts w:ascii="Garamond" w:eastAsia="Times New Roman" w:hAnsi="Garamond" w:cs="Times New Roman"/>
          <w:sz w:val="23"/>
          <w:szCs w:val="23"/>
          <w:lang w:eastAsia="it-IT"/>
        </w:rPr>
        <w:t>rasversali Contratti pubblici in deroga e a valere su risorse PNRR e PNC</w:t>
      </w:r>
      <w:r w:rsidR="00E71C6E">
        <w:rPr>
          <w:rFonts w:ascii="Garamond" w:eastAsia="Times New Roman" w:hAnsi="Garamond" w:cs="Times New Roman"/>
          <w:sz w:val="23"/>
          <w:szCs w:val="23"/>
          <w:lang w:eastAsia="it-IT"/>
        </w:rPr>
        <w:t xml:space="preserve">; </w:t>
      </w:r>
    </w:p>
    <w:p w14:paraId="7B7649AB" w14:textId="6F9C103E" w:rsidR="007C32DD" w:rsidRPr="00BF32B8" w:rsidRDefault="007C32DD" w:rsidP="00E71C6E">
      <w:pPr>
        <w:pStyle w:val="Paragrafoelenco"/>
        <w:numPr>
          <w:ilvl w:val="0"/>
          <w:numId w:val="23"/>
        </w:numPr>
        <w:autoSpaceDE w:val="0"/>
        <w:autoSpaceDN w:val="0"/>
        <w:adjustRightInd w:val="0"/>
        <w:spacing w:after="120" w:line="276" w:lineRule="auto"/>
        <w:ind w:left="714" w:hanging="357"/>
        <w:contextualSpacing w:val="0"/>
        <w:jc w:val="both"/>
        <w:rPr>
          <w:rFonts w:ascii="Garamond" w:eastAsia="Times New Roman" w:hAnsi="Garamond" w:cs="Times New Roman"/>
          <w:sz w:val="23"/>
          <w:szCs w:val="23"/>
          <w:lang w:eastAsia="it-IT"/>
        </w:rPr>
      </w:pPr>
      <w:r w:rsidRPr="00BF32B8">
        <w:rPr>
          <w:rFonts w:ascii="Garamond" w:eastAsia="Times New Roman" w:hAnsi="Garamond" w:cs="Times New Roman"/>
          <w:sz w:val="23"/>
          <w:szCs w:val="23"/>
          <w:lang w:eastAsia="it-IT"/>
        </w:rPr>
        <w:t>Allegato B - Misure Generali di Prevenzione della Corruzione a carico di tutte le strutture regionali;</w:t>
      </w:r>
    </w:p>
    <w:p w14:paraId="03F51C90" w14:textId="6728107A" w:rsidR="007C32DD" w:rsidRPr="00BF32B8" w:rsidRDefault="007C32DD" w:rsidP="00E71C6E">
      <w:pPr>
        <w:pStyle w:val="Paragrafoelenco"/>
        <w:numPr>
          <w:ilvl w:val="0"/>
          <w:numId w:val="23"/>
        </w:numPr>
        <w:autoSpaceDE w:val="0"/>
        <w:autoSpaceDN w:val="0"/>
        <w:adjustRightInd w:val="0"/>
        <w:spacing w:after="120" w:line="276" w:lineRule="auto"/>
        <w:ind w:left="714" w:hanging="357"/>
        <w:contextualSpacing w:val="0"/>
        <w:jc w:val="both"/>
        <w:rPr>
          <w:rFonts w:ascii="Garamond" w:eastAsia="Times New Roman" w:hAnsi="Garamond" w:cs="Times New Roman"/>
          <w:sz w:val="23"/>
          <w:szCs w:val="23"/>
          <w:lang w:eastAsia="it-IT"/>
        </w:rPr>
      </w:pPr>
      <w:r w:rsidRPr="00BF32B8">
        <w:rPr>
          <w:rFonts w:ascii="Garamond" w:eastAsia="Times New Roman" w:hAnsi="Garamond" w:cs="Times New Roman"/>
          <w:sz w:val="23"/>
          <w:szCs w:val="23"/>
          <w:lang w:eastAsia="it-IT"/>
        </w:rPr>
        <w:t>Allegato C - Trasparenza;</w:t>
      </w:r>
    </w:p>
    <w:p w14:paraId="6D55621A" w14:textId="581ACB26" w:rsidR="007C32DD" w:rsidRPr="00BF32B8" w:rsidRDefault="007C32DD" w:rsidP="00E71C6E">
      <w:pPr>
        <w:pStyle w:val="Paragrafoelenco"/>
        <w:numPr>
          <w:ilvl w:val="0"/>
          <w:numId w:val="23"/>
        </w:numPr>
        <w:autoSpaceDE w:val="0"/>
        <w:autoSpaceDN w:val="0"/>
        <w:adjustRightInd w:val="0"/>
        <w:spacing w:after="120" w:line="276" w:lineRule="auto"/>
        <w:ind w:left="714" w:hanging="357"/>
        <w:contextualSpacing w:val="0"/>
        <w:jc w:val="both"/>
        <w:rPr>
          <w:rFonts w:ascii="Garamond" w:eastAsia="Times New Roman" w:hAnsi="Garamond" w:cs="Times New Roman"/>
          <w:sz w:val="23"/>
          <w:szCs w:val="23"/>
          <w:lang w:eastAsia="it-IT"/>
        </w:rPr>
      </w:pPr>
      <w:r w:rsidRPr="00BF32B8">
        <w:rPr>
          <w:rFonts w:ascii="Garamond" w:eastAsia="Times New Roman" w:hAnsi="Garamond" w:cs="Times New Roman"/>
          <w:sz w:val="23"/>
          <w:szCs w:val="23"/>
          <w:lang w:eastAsia="it-IT"/>
        </w:rPr>
        <w:t>Allegato D - Registro degli Accessi Civici;</w:t>
      </w:r>
    </w:p>
    <w:p w14:paraId="608249C2" w14:textId="0920FCFF" w:rsidR="00D938BC" w:rsidRDefault="007C32DD" w:rsidP="00724C70">
      <w:pPr>
        <w:pStyle w:val="Paragrafoelenco"/>
        <w:numPr>
          <w:ilvl w:val="0"/>
          <w:numId w:val="23"/>
        </w:numPr>
        <w:autoSpaceDE w:val="0"/>
        <w:autoSpaceDN w:val="0"/>
        <w:adjustRightInd w:val="0"/>
        <w:spacing w:after="0" w:line="276" w:lineRule="auto"/>
        <w:ind w:left="714" w:hanging="357"/>
        <w:contextualSpacing w:val="0"/>
        <w:jc w:val="both"/>
        <w:rPr>
          <w:rFonts w:ascii="Garamond" w:eastAsia="Times New Roman" w:hAnsi="Garamond" w:cs="Times New Roman"/>
          <w:sz w:val="23"/>
          <w:szCs w:val="23"/>
          <w:lang w:eastAsia="it-IT"/>
        </w:rPr>
      </w:pPr>
      <w:r w:rsidRPr="00BF32B8">
        <w:rPr>
          <w:rFonts w:ascii="Garamond" w:eastAsia="Times New Roman" w:hAnsi="Garamond" w:cs="Times New Roman"/>
          <w:sz w:val="23"/>
          <w:szCs w:val="23"/>
          <w:lang w:eastAsia="it-IT"/>
        </w:rPr>
        <w:t>Allegato E - Monitoraggio dei Tempi Procedimentali.</w:t>
      </w:r>
    </w:p>
    <w:p w14:paraId="519685D9" w14:textId="5E72FF9F" w:rsidR="00BF32B8" w:rsidRDefault="00BF32B8" w:rsidP="00582EFE">
      <w:pPr>
        <w:autoSpaceDE w:val="0"/>
        <w:autoSpaceDN w:val="0"/>
        <w:adjustRightInd w:val="0"/>
        <w:spacing w:after="0" w:line="276" w:lineRule="auto"/>
        <w:jc w:val="both"/>
        <w:rPr>
          <w:rFonts w:ascii="Garamond" w:eastAsia="Times New Roman" w:hAnsi="Garamond" w:cs="Times New Roman"/>
          <w:sz w:val="23"/>
          <w:szCs w:val="23"/>
          <w:lang w:eastAsia="it-IT"/>
        </w:rPr>
      </w:pPr>
    </w:p>
    <w:p w14:paraId="7CC54F40" w14:textId="5A7BD51B" w:rsidR="00BF32B8" w:rsidRDefault="00BF32B8" w:rsidP="00582EFE">
      <w:pPr>
        <w:autoSpaceDE w:val="0"/>
        <w:autoSpaceDN w:val="0"/>
        <w:adjustRightInd w:val="0"/>
        <w:spacing w:after="0" w:line="276" w:lineRule="auto"/>
        <w:jc w:val="both"/>
        <w:rPr>
          <w:rFonts w:ascii="Garamond" w:eastAsia="Times New Roman" w:hAnsi="Garamond" w:cs="Times New Roman"/>
          <w:sz w:val="23"/>
          <w:szCs w:val="23"/>
          <w:lang w:eastAsia="it-IT"/>
        </w:rPr>
      </w:pPr>
    </w:p>
    <w:p w14:paraId="5BAB5063" w14:textId="5637CF2A" w:rsidR="00793B0B" w:rsidRDefault="00793B0B" w:rsidP="00582EFE">
      <w:pPr>
        <w:autoSpaceDE w:val="0"/>
        <w:autoSpaceDN w:val="0"/>
        <w:adjustRightInd w:val="0"/>
        <w:spacing w:after="0" w:line="276" w:lineRule="auto"/>
        <w:jc w:val="both"/>
        <w:rPr>
          <w:rFonts w:ascii="Garamond" w:eastAsia="Times New Roman" w:hAnsi="Garamond" w:cs="Times New Roman"/>
          <w:sz w:val="23"/>
          <w:szCs w:val="23"/>
          <w:lang w:eastAsia="it-IT"/>
        </w:rPr>
      </w:pPr>
      <w:bookmarkStart w:id="99" w:name="_GoBack"/>
      <w:bookmarkEnd w:id="99"/>
    </w:p>
    <w:sectPr w:rsidR="00793B0B" w:rsidSect="005D758A">
      <w:footerReference w:type="default" r:id="rId18"/>
      <w:pgSz w:w="11906" w:h="16838" w:code="9"/>
      <w:pgMar w:top="1418" w:right="1134" w:bottom="1134" w:left="1134" w:header="709" w:footer="425"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D1B81" w16cex:dateUtc="2023-01-14T11:16:00Z"/>
  <w16cex:commentExtensible w16cex:durableId="276D2919" w16cex:dateUtc="2023-01-14T12:14:00Z"/>
  <w16cex:commentExtensible w16cex:durableId="276D75D1" w16cex:dateUtc="2023-01-14T17:41:00Z"/>
  <w16cex:commentExtensible w16cex:durableId="27573931" w16cex:dateUtc="2022-12-28T20:52:00Z"/>
  <w16cex:commentExtensible w16cex:durableId="27573B2E" w16cex:dateUtc="2022-12-28T21: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E84552" w16cid:durableId="276D1B81"/>
  <w16cid:commentId w16cid:paraId="65695D0C" w16cid:durableId="276D2919"/>
  <w16cid:commentId w16cid:paraId="0778DDA9" w16cid:durableId="27701D18"/>
  <w16cid:commentId w16cid:paraId="6C307186" w16cid:durableId="276D75D1"/>
  <w16cid:commentId w16cid:paraId="0F7B34D9" w16cid:durableId="27573931"/>
  <w16cid:commentId w16cid:paraId="7CF4ACB6" w16cid:durableId="27573B2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E5D12" w14:textId="77777777" w:rsidR="00C377D6" w:rsidRDefault="00C377D6" w:rsidP="0072477E">
      <w:pPr>
        <w:spacing w:after="0"/>
      </w:pPr>
      <w:r>
        <w:separator/>
      </w:r>
    </w:p>
  </w:endnote>
  <w:endnote w:type="continuationSeparator" w:id="0">
    <w:p w14:paraId="74E3A7AD" w14:textId="77777777" w:rsidR="00C377D6" w:rsidRDefault="00C377D6" w:rsidP="0072477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449666"/>
      <w:docPartObj>
        <w:docPartGallery w:val="Page Numbers (Bottom of Page)"/>
        <w:docPartUnique/>
      </w:docPartObj>
    </w:sdtPr>
    <w:sdtEndPr/>
    <w:sdtContent>
      <w:p w14:paraId="6019FECA" w14:textId="7F897CCA" w:rsidR="00C377D6" w:rsidRDefault="00C377D6">
        <w:pPr>
          <w:pStyle w:val="Pidipagina"/>
          <w:jc w:val="center"/>
        </w:pPr>
        <w:r>
          <w:fldChar w:fldCharType="begin"/>
        </w:r>
        <w:r>
          <w:instrText>PAGE   \* MERGEFORMAT</w:instrText>
        </w:r>
        <w:r>
          <w:fldChar w:fldCharType="separate"/>
        </w:r>
        <w:r w:rsidR="0037773E">
          <w:rPr>
            <w:noProof/>
          </w:rPr>
          <w:t>49</w:t>
        </w:r>
        <w:r>
          <w:fldChar w:fldCharType="end"/>
        </w:r>
      </w:p>
    </w:sdtContent>
  </w:sdt>
  <w:p w14:paraId="605067C5" w14:textId="77777777" w:rsidR="00C377D6" w:rsidRDefault="00C377D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56B17" w14:textId="77777777" w:rsidR="00C377D6" w:rsidRDefault="00C377D6" w:rsidP="0072477E">
      <w:pPr>
        <w:spacing w:after="0"/>
      </w:pPr>
      <w:r>
        <w:separator/>
      </w:r>
    </w:p>
  </w:footnote>
  <w:footnote w:type="continuationSeparator" w:id="0">
    <w:p w14:paraId="30A8DD31" w14:textId="77777777" w:rsidR="00C377D6" w:rsidRDefault="00C377D6" w:rsidP="0072477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170C"/>
    <w:multiLevelType w:val="hybridMultilevel"/>
    <w:tmpl w:val="6C8244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8B6A5D"/>
    <w:multiLevelType w:val="hybridMultilevel"/>
    <w:tmpl w:val="6C8244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DD296E"/>
    <w:multiLevelType w:val="multilevel"/>
    <w:tmpl w:val="39B41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804C76"/>
    <w:multiLevelType w:val="hybridMultilevel"/>
    <w:tmpl w:val="46D60B74"/>
    <w:lvl w:ilvl="0" w:tplc="04100005">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15:restartNumberingAfterBreak="0">
    <w:nsid w:val="0A580F5F"/>
    <w:multiLevelType w:val="hybridMultilevel"/>
    <w:tmpl w:val="8ABE47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4557CC"/>
    <w:multiLevelType w:val="hybridMultilevel"/>
    <w:tmpl w:val="CFC6784C"/>
    <w:lvl w:ilvl="0" w:tplc="7EC866F4">
      <w:numFmt w:val="bullet"/>
      <w:lvlText w:val="-"/>
      <w:lvlJc w:val="left"/>
      <w:pPr>
        <w:ind w:left="1828" w:hanging="360"/>
      </w:pPr>
      <w:rPr>
        <w:rFonts w:ascii="Garamond" w:eastAsia="Times New Roman" w:hAnsi="Garamond" w:cs="Arial" w:hint="default"/>
        <w:b/>
      </w:rPr>
    </w:lvl>
    <w:lvl w:ilvl="1" w:tplc="04100003" w:tentative="1">
      <w:start w:val="1"/>
      <w:numFmt w:val="bullet"/>
      <w:lvlText w:val="o"/>
      <w:lvlJc w:val="left"/>
      <w:pPr>
        <w:ind w:left="2548" w:hanging="360"/>
      </w:pPr>
      <w:rPr>
        <w:rFonts w:ascii="Courier New" w:hAnsi="Courier New" w:cs="Courier New" w:hint="default"/>
      </w:rPr>
    </w:lvl>
    <w:lvl w:ilvl="2" w:tplc="04100005" w:tentative="1">
      <w:start w:val="1"/>
      <w:numFmt w:val="bullet"/>
      <w:lvlText w:val=""/>
      <w:lvlJc w:val="left"/>
      <w:pPr>
        <w:ind w:left="3268" w:hanging="360"/>
      </w:pPr>
      <w:rPr>
        <w:rFonts w:ascii="Wingdings" w:hAnsi="Wingdings" w:hint="default"/>
      </w:rPr>
    </w:lvl>
    <w:lvl w:ilvl="3" w:tplc="04100001" w:tentative="1">
      <w:start w:val="1"/>
      <w:numFmt w:val="bullet"/>
      <w:lvlText w:val=""/>
      <w:lvlJc w:val="left"/>
      <w:pPr>
        <w:ind w:left="3988" w:hanging="360"/>
      </w:pPr>
      <w:rPr>
        <w:rFonts w:ascii="Symbol" w:hAnsi="Symbol" w:hint="default"/>
      </w:rPr>
    </w:lvl>
    <w:lvl w:ilvl="4" w:tplc="04100003" w:tentative="1">
      <w:start w:val="1"/>
      <w:numFmt w:val="bullet"/>
      <w:lvlText w:val="o"/>
      <w:lvlJc w:val="left"/>
      <w:pPr>
        <w:ind w:left="4708" w:hanging="360"/>
      </w:pPr>
      <w:rPr>
        <w:rFonts w:ascii="Courier New" w:hAnsi="Courier New" w:cs="Courier New" w:hint="default"/>
      </w:rPr>
    </w:lvl>
    <w:lvl w:ilvl="5" w:tplc="04100005" w:tentative="1">
      <w:start w:val="1"/>
      <w:numFmt w:val="bullet"/>
      <w:lvlText w:val=""/>
      <w:lvlJc w:val="left"/>
      <w:pPr>
        <w:ind w:left="5428" w:hanging="360"/>
      </w:pPr>
      <w:rPr>
        <w:rFonts w:ascii="Wingdings" w:hAnsi="Wingdings" w:hint="default"/>
      </w:rPr>
    </w:lvl>
    <w:lvl w:ilvl="6" w:tplc="04100001" w:tentative="1">
      <w:start w:val="1"/>
      <w:numFmt w:val="bullet"/>
      <w:lvlText w:val=""/>
      <w:lvlJc w:val="left"/>
      <w:pPr>
        <w:ind w:left="6148" w:hanging="360"/>
      </w:pPr>
      <w:rPr>
        <w:rFonts w:ascii="Symbol" w:hAnsi="Symbol" w:hint="default"/>
      </w:rPr>
    </w:lvl>
    <w:lvl w:ilvl="7" w:tplc="04100003" w:tentative="1">
      <w:start w:val="1"/>
      <w:numFmt w:val="bullet"/>
      <w:lvlText w:val="o"/>
      <w:lvlJc w:val="left"/>
      <w:pPr>
        <w:ind w:left="6868" w:hanging="360"/>
      </w:pPr>
      <w:rPr>
        <w:rFonts w:ascii="Courier New" w:hAnsi="Courier New" w:cs="Courier New" w:hint="default"/>
      </w:rPr>
    </w:lvl>
    <w:lvl w:ilvl="8" w:tplc="04100005" w:tentative="1">
      <w:start w:val="1"/>
      <w:numFmt w:val="bullet"/>
      <w:lvlText w:val=""/>
      <w:lvlJc w:val="left"/>
      <w:pPr>
        <w:ind w:left="7588" w:hanging="360"/>
      </w:pPr>
      <w:rPr>
        <w:rFonts w:ascii="Wingdings" w:hAnsi="Wingdings" w:hint="default"/>
      </w:rPr>
    </w:lvl>
  </w:abstractNum>
  <w:abstractNum w:abstractNumId="6" w15:restartNumberingAfterBreak="0">
    <w:nsid w:val="0E632C22"/>
    <w:multiLevelType w:val="hybridMultilevel"/>
    <w:tmpl w:val="0DEEC8CE"/>
    <w:lvl w:ilvl="0" w:tplc="583A3E72">
      <w:numFmt w:val="bullet"/>
      <w:lvlText w:val="-"/>
      <w:lvlJc w:val="left"/>
      <w:pPr>
        <w:ind w:left="405" w:hanging="360"/>
      </w:pPr>
      <w:rPr>
        <w:rFonts w:ascii="Times New Roman" w:eastAsia="Times New Roman" w:hAnsi="Times New Roman" w:cs="Times New Roman"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7" w15:restartNumberingAfterBreak="0">
    <w:nsid w:val="11C97F11"/>
    <w:multiLevelType w:val="hybridMultilevel"/>
    <w:tmpl w:val="F880120A"/>
    <w:lvl w:ilvl="0" w:tplc="7EC866F4">
      <w:numFmt w:val="bullet"/>
      <w:lvlText w:val="-"/>
      <w:lvlJc w:val="left"/>
      <w:pPr>
        <w:ind w:left="862" w:hanging="360"/>
      </w:pPr>
      <w:rPr>
        <w:rFonts w:ascii="Garamond" w:eastAsia="Times New Roman" w:hAnsi="Garamond" w:cs="Arial" w:hint="default"/>
        <w:b/>
      </w:rPr>
    </w:lvl>
    <w:lvl w:ilvl="1" w:tplc="7EC866F4">
      <w:numFmt w:val="bullet"/>
      <w:lvlText w:val="-"/>
      <w:lvlJc w:val="left"/>
      <w:pPr>
        <w:ind w:left="1582" w:hanging="360"/>
      </w:pPr>
      <w:rPr>
        <w:rFonts w:ascii="Garamond" w:eastAsia="Times New Roman" w:hAnsi="Garamond" w:cs="Arial" w:hint="default"/>
        <w:b/>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 w15:restartNumberingAfterBreak="0">
    <w:nsid w:val="16486E25"/>
    <w:multiLevelType w:val="hybridMultilevel"/>
    <w:tmpl w:val="D820CE8E"/>
    <w:lvl w:ilvl="0" w:tplc="D0F2652C">
      <w:start w:val="1"/>
      <w:numFmt w:val="lowerLetter"/>
      <w:lvlText w:val="%1)"/>
      <w:lvlJc w:val="left"/>
      <w:pPr>
        <w:ind w:left="1211" w:hanging="360"/>
      </w:pPr>
      <w:rPr>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 w15:restartNumberingAfterBreak="0">
    <w:nsid w:val="180E7DAD"/>
    <w:multiLevelType w:val="hybridMultilevel"/>
    <w:tmpl w:val="48BCD384"/>
    <w:lvl w:ilvl="0" w:tplc="4B2438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9526B3"/>
    <w:multiLevelType w:val="hybridMultilevel"/>
    <w:tmpl w:val="9C7A63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0A33AB2"/>
    <w:multiLevelType w:val="hybridMultilevel"/>
    <w:tmpl w:val="FD2C26F0"/>
    <w:lvl w:ilvl="0" w:tplc="0410000B">
      <w:start w:val="1"/>
      <w:numFmt w:val="bullet"/>
      <w:lvlText w:val=""/>
      <w:lvlJc w:val="left"/>
      <w:pPr>
        <w:ind w:left="720" w:hanging="360"/>
      </w:pPr>
      <w:rPr>
        <w:rFonts w:ascii="Wingdings" w:hAnsi="Wingding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21E7E78"/>
    <w:multiLevelType w:val="hybridMultilevel"/>
    <w:tmpl w:val="79CE6172"/>
    <w:lvl w:ilvl="0" w:tplc="DEFE460C">
      <w:start w:val="1"/>
      <w:numFmt w:val="lowerLetter"/>
      <w:pStyle w:val="Elencolettere"/>
      <w:lvlText w:val="%1)"/>
      <w:lvlJc w:val="left"/>
      <w:pPr>
        <w:ind w:left="720" w:hanging="360"/>
      </w:pPr>
      <w:rPr>
        <w:b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BF413B"/>
    <w:multiLevelType w:val="hybridMultilevel"/>
    <w:tmpl w:val="EFE6E064"/>
    <w:lvl w:ilvl="0" w:tplc="09AC6E64">
      <w:start w:val="1"/>
      <w:numFmt w:val="lowerLetter"/>
      <w:lvlText w:val="%1)"/>
      <w:lvlJc w:val="left"/>
      <w:pPr>
        <w:ind w:left="1353" w:hanging="360"/>
      </w:pPr>
      <w:rPr>
        <w:sz w:val="22"/>
        <w:szCs w:val="22"/>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14" w15:restartNumberingAfterBreak="0">
    <w:nsid w:val="24F46849"/>
    <w:multiLevelType w:val="hybridMultilevel"/>
    <w:tmpl w:val="06FA210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41613B"/>
    <w:multiLevelType w:val="hybridMultilevel"/>
    <w:tmpl w:val="A4F275A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864564"/>
    <w:multiLevelType w:val="hybridMultilevel"/>
    <w:tmpl w:val="7DA6A618"/>
    <w:lvl w:ilvl="0" w:tplc="04100005">
      <w:start w:val="1"/>
      <w:numFmt w:val="bullet"/>
      <w:lvlText w:val=""/>
      <w:lvlJc w:val="left"/>
      <w:pPr>
        <w:ind w:left="360" w:hanging="360"/>
      </w:pPr>
      <w:rPr>
        <w:rFonts w:ascii="Wingdings" w:hAnsi="Wingdings" w:hint="default"/>
        <w:b/>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2BFA5856"/>
    <w:multiLevelType w:val="hybridMultilevel"/>
    <w:tmpl w:val="6D26C472"/>
    <w:lvl w:ilvl="0" w:tplc="0410000D">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F1E5FD5"/>
    <w:multiLevelType w:val="hybridMultilevel"/>
    <w:tmpl w:val="8A0A4A2E"/>
    <w:lvl w:ilvl="0" w:tplc="7EC866F4">
      <w:numFmt w:val="bullet"/>
      <w:lvlText w:val="-"/>
      <w:lvlJc w:val="left"/>
      <w:pPr>
        <w:ind w:left="1044" w:hanging="360"/>
      </w:pPr>
      <w:rPr>
        <w:rFonts w:ascii="Garamond" w:eastAsia="Times New Roman" w:hAnsi="Garamond" w:cs="Arial" w:hint="default"/>
        <w:b/>
      </w:rPr>
    </w:lvl>
    <w:lvl w:ilvl="1" w:tplc="04100003" w:tentative="1">
      <w:start w:val="1"/>
      <w:numFmt w:val="bullet"/>
      <w:lvlText w:val="o"/>
      <w:lvlJc w:val="left"/>
      <w:pPr>
        <w:ind w:left="1764" w:hanging="360"/>
      </w:pPr>
      <w:rPr>
        <w:rFonts w:ascii="Courier New" w:hAnsi="Courier New" w:cs="Courier New" w:hint="default"/>
      </w:rPr>
    </w:lvl>
    <w:lvl w:ilvl="2" w:tplc="04100005" w:tentative="1">
      <w:start w:val="1"/>
      <w:numFmt w:val="bullet"/>
      <w:lvlText w:val=""/>
      <w:lvlJc w:val="left"/>
      <w:pPr>
        <w:ind w:left="2484" w:hanging="360"/>
      </w:pPr>
      <w:rPr>
        <w:rFonts w:ascii="Wingdings" w:hAnsi="Wingdings" w:hint="default"/>
      </w:rPr>
    </w:lvl>
    <w:lvl w:ilvl="3" w:tplc="04100001" w:tentative="1">
      <w:start w:val="1"/>
      <w:numFmt w:val="bullet"/>
      <w:lvlText w:val=""/>
      <w:lvlJc w:val="left"/>
      <w:pPr>
        <w:ind w:left="3204" w:hanging="360"/>
      </w:pPr>
      <w:rPr>
        <w:rFonts w:ascii="Symbol" w:hAnsi="Symbol" w:hint="default"/>
      </w:rPr>
    </w:lvl>
    <w:lvl w:ilvl="4" w:tplc="04100003" w:tentative="1">
      <w:start w:val="1"/>
      <w:numFmt w:val="bullet"/>
      <w:lvlText w:val="o"/>
      <w:lvlJc w:val="left"/>
      <w:pPr>
        <w:ind w:left="3924" w:hanging="360"/>
      </w:pPr>
      <w:rPr>
        <w:rFonts w:ascii="Courier New" w:hAnsi="Courier New" w:cs="Courier New" w:hint="default"/>
      </w:rPr>
    </w:lvl>
    <w:lvl w:ilvl="5" w:tplc="04100005" w:tentative="1">
      <w:start w:val="1"/>
      <w:numFmt w:val="bullet"/>
      <w:lvlText w:val=""/>
      <w:lvlJc w:val="left"/>
      <w:pPr>
        <w:ind w:left="4644" w:hanging="360"/>
      </w:pPr>
      <w:rPr>
        <w:rFonts w:ascii="Wingdings" w:hAnsi="Wingdings" w:hint="default"/>
      </w:rPr>
    </w:lvl>
    <w:lvl w:ilvl="6" w:tplc="04100001" w:tentative="1">
      <w:start w:val="1"/>
      <w:numFmt w:val="bullet"/>
      <w:lvlText w:val=""/>
      <w:lvlJc w:val="left"/>
      <w:pPr>
        <w:ind w:left="5364" w:hanging="360"/>
      </w:pPr>
      <w:rPr>
        <w:rFonts w:ascii="Symbol" w:hAnsi="Symbol" w:hint="default"/>
      </w:rPr>
    </w:lvl>
    <w:lvl w:ilvl="7" w:tplc="04100003" w:tentative="1">
      <w:start w:val="1"/>
      <w:numFmt w:val="bullet"/>
      <w:lvlText w:val="o"/>
      <w:lvlJc w:val="left"/>
      <w:pPr>
        <w:ind w:left="6084" w:hanging="360"/>
      </w:pPr>
      <w:rPr>
        <w:rFonts w:ascii="Courier New" w:hAnsi="Courier New" w:cs="Courier New" w:hint="default"/>
      </w:rPr>
    </w:lvl>
    <w:lvl w:ilvl="8" w:tplc="04100005" w:tentative="1">
      <w:start w:val="1"/>
      <w:numFmt w:val="bullet"/>
      <w:lvlText w:val=""/>
      <w:lvlJc w:val="left"/>
      <w:pPr>
        <w:ind w:left="6804" w:hanging="360"/>
      </w:pPr>
      <w:rPr>
        <w:rFonts w:ascii="Wingdings" w:hAnsi="Wingdings" w:hint="default"/>
      </w:rPr>
    </w:lvl>
  </w:abstractNum>
  <w:abstractNum w:abstractNumId="19" w15:restartNumberingAfterBreak="0">
    <w:nsid w:val="36911B62"/>
    <w:multiLevelType w:val="hybridMultilevel"/>
    <w:tmpl w:val="CA84B970"/>
    <w:lvl w:ilvl="0" w:tplc="0410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98031CF"/>
    <w:multiLevelType w:val="hybridMultilevel"/>
    <w:tmpl w:val="3CE6B43E"/>
    <w:lvl w:ilvl="0" w:tplc="0410000B">
      <w:start w:val="1"/>
      <w:numFmt w:val="bullet"/>
      <w:lvlText w:val=""/>
      <w:lvlJc w:val="left"/>
      <w:pPr>
        <w:ind w:left="1211" w:hanging="360"/>
      </w:pPr>
      <w:rPr>
        <w:rFonts w:ascii="Wingdings" w:hAnsi="Wingdings" w:hint="default"/>
        <w:b w:val="0"/>
      </w:rPr>
    </w:lvl>
    <w:lvl w:ilvl="1" w:tplc="9F8C497C">
      <w:start w:val="1"/>
      <w:numFmt w:val="lowerLetter"/>
      <w:lvlText w:val="%2)"/>
      <w:lvlJc w:val="left"/>
      <w:pPr>
        <w:ind w:left="2302" w:hanging="360"/>
      </w:pPr>
      <w:rPr>
        <w:b/>
      </w:rPr>
    </w:lvl>
    <w:lvl w:ilvl="2" w:tplc="0410001B">
      <w:start w:val="1"/>
      <w:numFmt w:val="lowerRoman"/>
      <w:lvlText w:val="%3."/>
      <w:lvlJc w:val="right"/>
      <w:pPr>
        <w:ind w:left="3022" w:hanging="180"/>
      </w:pPr>
    </w:lvl>
    <w:lvl w:ilvl="3" w:tplc="0410000F">
      <w:start w:val="1"/>
      <w:numFmt w:val="decimal"/>
      <w:lvlText w:val="%4."/>
      <w:lvlJc w:val="left"/>
      <w:pPr>
        <w:ind w:left="3742" w:hanging="360"/>
      </w:pPr>
    </w:lvl>
    <w:lvl w:ilvl="4" w:tplc="04100019">
      <w:start w:val="1"/>
      <w:numFmt w:val="lowerLetter"/>
      <w:lvlText w:val="%5."/>
      <w:lvlJc w:val="left"/>
      <w:pPr>
        <w:ind w:left="4462" w:hanging="360"/>
      </w:pPr>
    </w:lvl>
    <w:lvl w:ilvl="5" w:tplc="0410001B">
      <w:start w:val="1"/>
      <w:numFmt w:val="lowerRoman"/>
      <w:lvlText w:val="%6."/>
      <w:lvlJc w:val="right"/>
      <w:pPr>
        <w:ind w:left="5182" w:hanging="180"/>
      </w:pPr>
    </w:lvl>
    <w:lvl w:ilvl="6" w:tplc="0410000F">
      <w:start w:val="1"/>
      <w:numFmt w:val="decimal"/>
      <w:lvlText w:val="%7."/>
      <w:lvlJc w:val="left"/>
      <w:pPr>
        <w:ind w:left="5902" w:hanging="360"/>
      </w:pPr>
    </w:lvl>
    <w:lvl w:ilvl="7" w:tplc="04100019">
      <w:start w:val="1"/>
      <w:numFmt w:val="lowerLetter"/>
      <w:lvlText w:val="%8."/>
      <w:lvlJc w:val="left"/>
      <w:pPr>
        <w:ind w:left="6622" w:hanging="360"/>
      </w:pPr>
    </w:lvl>
    <w:lvl w:ilvl="8" w:tplc="0410001B">
      <w:start w:val="1"/>
      <w:numFmt w:val="lowerRoman"/>
      <w:lvlText w:val="%9."/>
      <w:lvlJc w:val="right"/>
      <w:pPr>
        <w:ind w:left="7342" w:hanging="180"/>
      </w:pPr>
    </w:lvl>
  </w:abstractNum>
  <w:abstractNum w:abstractNumId="21" w15:restartNumberingAfterBreak="0">
    <w:nsid w:val="3B3D45B4"/>
    <w:multiLevelType w:val="multilevel"/>
    <w:tmpl w:val="A852E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217388"/>
    <w:multiLevelType w:val="hybridMultilevel"/>
    <w:tmpl w:val="0290980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CE00D31"/>
    <w:multiLevelType w:val="hybridMultilevel"/>
    <w:tmpl w:val="8E409C7A"/>
    <w:lvl w:ilvl="0" w:tplc="4B24383C">
      <w:start w:val="1"/>
      <w:numFmt w:val="bullet"/>
      <w:lvlText w:val="­"/>
      <w:lvlJc w:val="left"/>
      <w:pPr>
        <w:ind w:left="360" w:hanging="360"/>
      </w:pPr>
      <w:rPr>
        <w:rFonts w:ascii="Courier New" w:hAnsi="Courier New" w:hint="default"/>
        <w:b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486626B4"/>
    <w:multiLevelType w:val="multilevel"/>
    <w:tmpl w:val="1F16E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9B7FB0"/>
    <w:multiLevelType w:val="hybridMultilevel"/>
    <w:tmpl w:val="9A1CC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58B7EE2"/>
    <w:multiLevelType w:val="hybridMultilevel"/>
    <w:tmpl w:val="D854D118"/>
    <w:lvl w:ilvl="0" w:tplc="583A3E7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6A37CBA"/>
    <w:multiLevelType w:val="hybridMultilevel"/>
    <w:tmpl w:val="583686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365BF"/>
    <w:multiLevelType w:val="hybridMultilevel"/>
    <w:tmpl w:val="5FAE0E88"/>
    <w:lvl w:ilvl="0" w:tplc="7EC866F4">
      <w:numFmt w:val="bullet"/>
      <w:lvlText w:val="-"/>
      <w:lvlJc w:val="left"/>
      <w:pPr>
        <w:ind w:left="720" w:hanging="360"/>
      </w:pPr>
      <w:rPr>
        <w:rFonts w:ascii="Garamond" w:eastAsia="Times New Roman" w:hAnsi="Garamond"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593D5B"/>
    <w:multiLevelType w:val="hybridMultilevel"/>
    <w:tmpl w:val="77F43AEE"/>
    <w:lvl w:ilvl="0" w:tplc="33362144">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F3F3679"/>
    <w:multiLevelType w:val="hybridMultilevel"/>
    <w:tmpl w:val="F3DCFE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4A262EB"/>
    <w:multiLevelType w:val="hybridMultilevel"/>
    <w:tmpl w:val="14CE8A56"/>
    <w:lvl w:ilvl="0" w:tplc="0410000B">
      <w:start w:val="1"/>
      <w:numFmt w:val="bullet"/>
      <w:lvlText w:val=""/>
      <w:lvlJc w:val="left"/>
      <w:pPr>
        <w:ind w:left="720" w:hanging="360"/>
      </w:pPr>
      <w:rPr>
        <w:rFonts w:ascii="Wingdings" w:hAnsi="Wingding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D6C20A8"/>
    <w:multiLevelType w:val="hybridMultilevel"/>
    <w:tmpl w:val="9CFE42AA"/>
    <w:lvl w:ilvl="0" w:tplc="EC344858">
      <w:start w:val="1"/>
      <w:numFmt w:val="bullet"/>
      <w:pStyle w:val="Titolett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3C34E06"/>
    <w:multiLevelType w:val="hybridMultilevel"/>
    <w:tmpl w:val="8ABE47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9AB7A5F"/>
    <w:multiLevelType w:val="hybridMultilevel"/>
    <w:tmpl w:val="8ABE47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786941"/>
    <w:multiLevelType w:val="hybridMultilevel"/>
    <w:tmpl w:val="7A2C8CE4"/>
    <w:lvl w:ilvl="0" w:tplc="04100005">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CA50713"/>
    <w:multiLevelType w:val="hybridMultilevel"/>
    <w:tmpl w:val="8ABE47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E637B68"/>
    <w:multiLevelType w:val="hybridMultilevel"/>
    <w:tmpl w:val="27AC77F0"/>
    <w:lvl w:ilvl="0" w:tplc="4B2438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9"/>
  </w:num>
  <w:num w:numId="2">
    <w:abstractNumId w:val="17"/>
  </w:num>
  <w:num w:numId="3">
    <w:abstractNumId w:val="3"/>
  </w:num>
  <w:num w:numId="4">
    <w:abstractNumId w:val="12"/>
  </w:num>
  <w:num w:numId="5">
    <w:abstractNumId w:val="32"/>
  </w:num>
  <w:num w:numId="6">
    <w:abstractNumId w:val="6"/>
  </w:num>
  <w:num w:numId="7">
    <w:abstractNumId w:val="14"/>
  </w:num>
  <w:num w:numId="8">
    <w:abstractNumId w:val="26"/>
  </w:num>
  <w:num w:numId="9">
    <w:abstractNumId w:val="30"/>
  </w:num>
  <w:num w:numId="10">
    <w:abstractNumId w:val="28"/>
  </w:num>
  <w:num w:numId="11">
    <w:abstractNumId w:val="13"/>
  </w:num>
  <w:num w:numId="12">
    <w:abstractNumId w:val="8"/>
  </w:num>
  <w:num w:numId="13">
    <w:abstractNumId w:val="7"/>
  </w:num>
  <w:num w:numId="14">
    <w:abstractNumId w:val="18"/>
  </w:num>
  <w:num w:numId="15">
    <w:abstractNumId w:val="5"/>
  </w:num>
  <w:num w:numId="16">
    <w:abstractNumId w:val="25"/>
  </w:num>
  <w:num w:numId="17">
    <w:abstractNumId w:val="16"/>
  </w:num>
  <w:num w:numId="18">
    <w:abstractNumId w:val="20"/>
  </w:num>
  <w:num w:numId="19">
    <w:abstractNumId w:val="37"/>
  </w:num>
  <w:num w:numId="20">
    <w:abstractNumId w:val="23"/>
  </w:num>
  <w:num w:numId="21">
    <w:abstractNumId w:val="35"/>
  </w:num>
  <w:num w:numId="22">
    <w:abstractNumId w:val="9"/>
  </w:num>
  <w:num w:numId="23">
    <w:abstractNumId w:val="11"/>
  </w:num>
  <w:num w:numId="24">
    <w:abstractNumId w:val="27"/>
  </w:num>
  <w:num w:numId="25">
    <w:abstractNumId w:val="36"/>
  </w:num>
  <w:num w:numId="26">
    <w:abstractNumId w:val="33"/>
  </w:num>
  <w:num w:numId="27">
    <w:abstractNumId w:val="34"/>
  </w:num>
  <w:num w:numId="28">
    <w:abstractNumId w:val="4"/>
  </w:num>
  <w:num w:numId="29">
    <w:abstractNumId w:val="22"/>
  </w:num>
  <w:num w:numId="30">
    <w:abstractNumId w:val="15"/>
  </w:num>
  <w:num w:numId="31">
    <w:abstractNumId w:val="1"/>
  </w:num>
  <w:num w:numId="32">
    <w:abstractNumId w:val="0"/>
  </w:num>
  <w:num w:numId="33">
    <w:abstractNumId w:val="31"/>
  </w:num>
  <w:num w:numId="34">
    <w:abstractNumId w:val="19"/>
  </w:num>
  <w:num w:numId="35">
    <w:abstractNumId w:val="2"/>
  </w:num>
  <w:num w:numId="36">
    <w:abstractNumId w:val="21"/>
  </w:num>
  <w:num w:numId="37">
    <w:abstractNumId w:val="24"/>
  </w:num>
  <w:num w:numId="38">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4EC"/>
    <w:rsid w:val="00001DA7"/>
    <w:rsid w:val="0000514C"/>
    <w:rsid w:val="0000580B"/>
    <w:rsid w:val="00005E36"/>
    <w:rsid w:val="00006001"/>
    <w:rsid w:val="00006CE3"/>
    <w:rsid w:val="0000768E"/>
    <w:rsid w:val="000102DF"/>
    <w:rsid w:val="000106BE"/>
    <w:rsid w:val="00010A0B"/>
    <w:rsid w:val="000122C8"/>
    <w:rsid w:val="00013A7E"/>
    <w:rsid w:val="00013FD8"/>
    <w:rsid w:val="00014403"/>
    <w:rsid w:val="000157C7"/>
    <w:rsid w:val="000164F7"/>
    <w:rsid w:val="000178EB"/>
    <w:rsid w:val="00020F7B"/>
    <w:rsid w:val="00021F89"/>
    <w:rsid w:val="0002361C"/>
    <w:rsid w:val="00023756"/>
    <w:rsid w:val="00024739"/>
    <w:rsid w:val="00024BD9"/>
    <w:rsid w:val="000266C1"/>
    <w:rsid w:val="000272E3"/>
    <w:rsid w:val="00031326"/>
    <w:rsid w:val="0003208E"/>
    <w:rsid w:val="00032263"/>
    <w:rsid w:val="000323A2"/>
    <w:rsid w:val="00032A30"/>
    <w:rsid w:val="000334B7"/>
    <w:rsid w:val="00033905"/>
    <w:rsid w:val="0003681E"/>
    <w:rsid w:val="00036A64"/>
    <w:rsid w:val="0003701D"/>
    <w:rsid w:val="000375D7"/>
    <w:rsid w:val="000401CA"/>
    <w:rsid w:val="000425B5"/>
    <w:rsid w:val="000426D9"/>
    <w:rsid w:val="000427DA"/>
    <w:rsid w:val="000447DD"/>
    <w:rsid w:val="00046979"/>
    <w:rsid w:val="00046F32"/>
    <w:rsid w:val="000475B0"/>
    <w:rsid w:val="0005166E"/>
    <w:rsid w:val="00052BFE"/>
    <w:rsid w:val="000533F1"/>
    <w:rsid w:val="00053C69"/>
    <w:rsid w:val="00054012"/>
    <w:rsid w:val="000542A5"/>
    <w:rsid w:val="000560F5"/>
    <w:rsid w:val="00057AFB"/>
    <w:rsid w:val="00061C47"/>
    <w:rsid w:val="00062B48"/>
    <w:rsid w:val="00063AAB"/>
    <w:rsid w:val="00064088"/>
    <w:rsid w:val="00064622"/>
    <w:rsid w:val="00067096"/>
    <w:rsid w:val="000707F4"/>
    <w:rsid w:val="00072044"/>
    <w:rsid w:val="00073940"/>
    <w:rsid w:val="00073955"/>
    <w:rsid w:val="00073C1B"/>
    <w:rsid w:val="00073DAD"/>
    <w:rsid w:val="00073E25"/>
    <w:rsid w:val="00077227"/>
    <w:rsid w:val="00080044"/>
    <w:rsid w:val="0008029D"/>
    <w:rsid w:val="00080452"/>
    <w:rsid w:val="00081020"/>
    <w:rsid w:val="000834E2"/>
    <w:rsid w:val="00083AC2"/>
    <w:rsid w:val="00087D93"/>
    <w:rsid w:val="00093164"/>
    <w:rsid w:val="0009383B"/>
    <w:rsid w:val="0009685B"/>
    <w:rsid w:val="00096B8E"/>
    <w:rsid w:val="0009763E"/>
    <w:rsid w:val="0009793D"/>
    <w:rsid w:val="000A0752"/>
    <w:rsid w:val="000A0C16"/>
    <w:rsid w:val="000A0DCB"/>
    <w:rsid w:val="000A1AFA"/>
    <w:rsid w:val="000A2203"/>
    <w:rsid w:val="000A32B9"/>
    <w:rsid w:val="000A3C3B"/>
    <w:rsid w:val="000A5CCE"/>
    <w:rsid w:val="000A757F"/>
    <w:rsid w:val="000A76FA"/>
    <w:rsid w:val="000B03FF"/>
    <w:rsid w:val="000B16AA"/>
    <w:rsid w:val="000B1ED1"/>
    <w:rsid w:val="000B460E"/>
    <w:rsid w:val="000B60E7"/>
    <w:rsid w:val="000B61EE"/>
    <w:rsid w:val="000B64EE"/>
    <w:rsid w:val="000B7124"/>
    <w:rsid w:val="000B7543"/>
    <w:rsid w:val="000C05C7"/>
    <w:rsid w:val="000C07BE"/>
    <w:rsid w:val="000C15A4"/>
    <w:rsid w:val="000C1AF2"/>
    <w:rsid w:val="000C1EFD"/>
    <w:rsid w:val="000C21B2"/>
    <w:rsid w:val="000C5719"/>
    <w:rsid w:val="000C58D2"/>
    <w:rsid w:val="000C5AE2"/>
    <w:rsid w:val="000C6014"/>
    <w:rsid w:val="000C71CF"/>
    <w:rsid w:val="000C7494"/>
    <w:rsid w:val="000C7672"/>
    <w:rsid w:val="000D033B"/>
    <w:rsid w:val="000D04EF"/>
    <w:rsid w:val="000D1224"/>
    <w:rsid w:val="000D3D3E"/>
    <w:rsid w:val="000D40A7"/>
    <w:rsid w:val="000D4272"/>
    <w:rsid w:val="000D42C7"/>
    <w:rsid w:val="000D4D8C"/>
    <w:rsid w:val="000D6E64"/>
    <w:rsid w:val="000E00D9"/>
    <w:rsid w:val="000E1BA3"/>
    <w:rsid w:val="000E254D"/>
    <w:rsid w:val="000E2B78"/>
    <w:rsid w:val="000E32FC"/>
    <w:rsid w:val="000E3C9B"/>
    <w:rsid w:val="000E4564"/>
    <w:rsid w:val="000E46F2"/>
    <w:rsid w:val="000E4F31"/>
    <w:rsid w:val="000E57DD"/>
    <w:rsid w:val="000E5D8F"/>
    <w:rsid w:val="000E77CF"/>
    <w:rsid w:val="000E7C4A"/>
    <w:rsid w:val="000F02C9"/>
    <w:rsid w:val="000F0731"/>
    <w:rsid w:val="000F17F4"/>
    <w:rsid w:val="000F2BB0"/>
    <w:rsid w:val="000F33F9"/>
    <w:rsid w:val="000F35BB"/>
    <w:rsid w:val="000F3771"/>
    <w:rsid w:val="000F7CEE"/>
    <w:rsid w:val="00100340"/>
    <w:rsid w:val="00101777"/>
    <w:rsid w:val="00102333"/>
    <w:rsid w:val="00103B4D"/>
    <w:rsid w:val="00103CFE"/>
    <w:rsid w:val="00103D1C"/>
    <w:rsid w:val="0010461B"/>
    <w:rsid w:val="00105226"/>
    <w:rsid w:val="0010565A"/>
    <w:rsid w:val="001058F1"/>
    <w:rsid w:val="00105BB1"/>
    <w:rsid w:val="001065CE"/>
    <w:rsid w:val="00107CBA"/>
    <w:rsid w:val="0011011B"/>
    <w:rsid w:val="00111DD5"/>
    <w:rsid w:val="001120C4"/>
    <w:rsid w:val="00112BC0"/>
    <w:rsid w:val="00115C88"/>
    <w:rsid w:val="00116DA1"/>
    <w:rsid w:val="001173F7"/>
    <w:rsid w:val="001214B4"/>
    <w:rsid w:val="00121DB5"/>
    <w:rsid w:val="00121E81"/>
    <w:rsid w:val="001223E3"/>
    <w:rsid w:val="00123D83"/>
    <w:rsid w:val="00126620"/>
    <w:rsid w:val="00126CE4"/>
    <w:rsid w:val="00131F43"/>
    <w:rsid w:val="00132933"/>
    <w:rsid w:val="00132A07"/>
    <w:rsid w:val="0013326B"/>
    <w:rsid w:val="00134111"/>
    <w:rsid w:val="001344A2"/>
    <w:rsid w:val="0013760C"/>
    <w:rsid w:val="0014095A"/>
    <w:rsid w:val="00140B38"/>
    <w:rsid w:val="001416C9"/>
    <w:rsid w:val="0014242B"/>
    <w:rsid w:val="00142874"/>
    <w:rsid w:val="00142B53"/>
    <w:rsid w:val="001431A1"/>
    <w:rsid w:val="001431C5"/>
    <w:rsid w:val="00143A3C"/>
    <w:rsid w:val="00143D2F"/>
    <w:rsid w:val="001454A8"/>
    <w:rsid w:val="00145675"/>
    <w:rsid w:val="00146E91"/>
    <w:rsid w:val="001477CB"/>
    <w:rsid w:val="00150B86"/>
    <w:rsid w:val="0015219D"/>
    <w:rsid w:val="00152D8E"/>
    <w:rsid w:val="0015409F"/>
    <w:rsid w:val="0015488E"/>
    <w:rsid w:val="00155DB1"/>
    <w:rsid w:val="00157A0D"/>
    <w:rsid w:val="0016034F"/>
    <w:rsid w:val="001605C5"/>
    <w:rsid w:val="00160619"/>
    <w:rsid w:val="00160942"/>
    <w:rsid w:val="00161011"/>
    <w:rsid w:val="00162B92"/>
    <w:rsid w:val="00163C01"/>
    <w:rsid w:val="00163E4D"/>
    <w:rsid w:val="00164B1B"/>
    <w:rsid w:val="001669B6"/>
    <w:rsid w:val="00167422"/>
    <w:rsid w:val="00170C30"/>
    <w:rsid w:val="00172B58"/>
    <w:rsid w:val="00176111"/>
    <w:rsid w:val="00176633"/>
    <w:rsid w:val="001779A8"/>
    <w:rsid w:val="001824CD"/>
    <w:rsid w:val="0018272D"/>
    <w:rsid w:val="00182F8B"/>
    <w:rsid w:val="001837EE"/>
    <w:rsid w:val="00183D15"/>
    <w:rsid w:val="001842C1"/>
    <w:rsid w:val="001863F3"/>
    <w:rsid w:val="001873F5"/>
    <w:rsid w:val="001874D6"/>
    <w:rsid w:val="001876B4"/>
    <w:rsid w:val="00190443"/>
    <w:rsid w:val="001907BC"/>
    <w:rsid w:val="00190B32"/>
    <w:rsid w:val="00192F16"/>
    <w:rsid w:val="001954AD"/>
    <w:rsid w:val="0019552F"/>
    <w:rsid w:val="00196329"/>
    <w:rsid w:val="001969BB"/>
    <w:rsid w:val="0019774E"/>
    <w:rsid w:val="001A203A"/>
    <w:rsid w:val="001A3C8A"/>
    <w:rsid w:val="001A48E3"/>
    <w:rsid w:val="001A580B"/>
    <w:rsid w:val="001A604C"/>
    <w:rsid w:val="001B228A"/>
    <w:rsid w:val="001B2A51"/>
    <w:rsid w:val="001B3045"/>
    <w:rsid w:val="001B3268"/>
    <w:rsid w:val="001B3D4F"/>
    <w:rsid w:val="001B40F5"/>
    <w:rsid w:val="001B461A"/>
    <w:rsid w:val="001B52BA"/>
    <w:rsid w:val="001B53DE"/>
    <w:rsid w:val="001B5691"/>
    <w:rsid w:val="001C01E6"/>
    <w:rsid w:val="001C11C2"/>
    <w:rsid w:val="001C1F99"/>
    <w:rsid w:val="001C2044"/>
    <w:rsid w:val="001C287C"/>
    <w:rsid w:val="001C2F95"/>
    <w:rsid w:val="001C31AD"/>
    <w:rsid w:val="001C3788"/>
    <w:rsid w:val="001C3E53"/>
    <w:rsid w:val="001C41D6"/>
    <w:rsid w:val="001C45C0"/>
    <w:rsid w:val="001C4731"/>
    <w:rsid w:val="001C49CB"/>
    <w:rsid w:val="001C4FBA"/>
    <w:rsid w:val="001D09B4"/>
    <w:rsid w:val="001D159D"/>
    <w:rsid w:val="001D2563"/>
    <w:rsid w:val="001D2E39"/>
    <w:rsid w:val="001D2FFF"/>
    <w:rsid w:val="001D3E1D"/>
    <w:rsid w:val="001D5A3F"/>
    <w:rsid w:val="001D5D2C"/>
    <w:rsid w:val="001D68BF"/>
    <w:rsid w:val="001E0125"/>
    <w:rsid w:val="001E1D23"/>
    <w:rsid w:val="001E28AF"/>
    <w:rsid w:val="001E2BE4"/>
    <w:rsid w:val="001E310B"/>
    <w:rsid w:val="001E3487"/>
    <w:rsid w:val="001E5939"/>
    <w:rsid w:val="001F0629"/>
    <w:rsid w:val="001F2A99"/>
    <w:rsid w:val="001F3875"/>
    <w:rsid w:val="001F3A60"/>
    <w:rsid w:val="001F4241"/>
    <w:rsid w:val="001F49E5"/>
    <w:rsid w:val="001F5930"/>
    <w:rsid w:val="001F5E82"/>
    <w:rsid w:val="001F6FC2"/>
    <w:rsid w:val="001F708A"/>
    <w:rsid w:val="001F7A13"/>
    <w:rsid w:val="0020053A"/>
    <w:rsid w:val="00200BC0"/>
    <w:rsid w:val="002014FD"/>
    <w:rsid w:val="0020280E"/>
    <w:rsid w:val="00202DC2"/>
    <w:rsid w:val="00204156"/>
    <w:rsid w:val="002045C8"/>
    <w:rsid w:val="00204B89"/>
    <w:rsid w:val="002053CB"/>
    <w:rsid w:val="00206ECB"/>
    <w:rsid w:val="00207106"/>
    <w:rsid w:val="0020739C"/>
    <w:rsid w:val="00210BA6"/>
    <w:rsid w:val="00210FCA"/>
    <w:rsid w:val="00211370"/>
    <w:rsid w:val="00211692"/>
    <w:rsid w:val="002121DF"/>
    <w:rsid w:val="002122A7"/>
    <w:rsid w:val="00212D8D"/>
    <w:rsid w:val="0021365D"/>
    <w:rsid w:val="00213816"/>
    <w:rsid w:val="0021533B"/>
    <w:rsid w:val="00217463"/>
    <w:rsid w:val="002178E0"/>
    <w:rsid w:val="00220AEC"/>
    <w:rsid w:val="00220CA2"/>
    <w:rsid w:val="00221424"/>
    <w:rsid w:val="00223CBC"/>
    <w:rsid w:val="00224652"/>
    <w:rsid w:val="00224CB3"/>
    <w:rsid w:val="0022781C"/>
    <w:rsid w:val="0023079E"/>
    <w:rsid w:val="00231562"/>
    <w:rsid w:val="00231A7E"/>
    <w:rsid w:val="002326C7"/>
    <w:rsid w:val="00235D3A"/>
    <w:rsid w:val="00236DB0"/>
    <w:rsid w:val="002378A1"/>
    <w:rsid w:val="00237C2A"/>
    <w:rsid w:val="00237F67"/>
    <w:rsid w:val="0024052C"/>
    <w:rsid w:val="0024287A"/>
    <w:rsid w:val="002456C9"/>
    <w:rsid w:val="00247A32"/>
    <w:rsid w:val="00247F15"/>
    <w:rsid w:val="0025218D"/>
    <w:rsid w:val="002533CF"/>
    <w:rsid w:val="00253CEF"/>
    <w:rsid w:val="00254A04"/>
    <w:rsid w:val="002550C7"/>
    <w:rsid w:val="00256EB8"/>
    <w:rsid w:val="002575D8"/>
    <w:rsid w:val="00261EF0"/>
    <w:rsid w:val="0026256F"/>
    <w:rsid w:val="00262BD4"/>
    <w:rsid w:val="002634F9"/>
    <w:rsid w:val="00264551"/>
    <w:rsid w:val="002662B4"/>
    <w:rsid w:val="00266D4B"/>
    <w:rsid w:val="00267A5C"/>
    <w:rsid w:val="00270E75"/>
    <w:rsid w:val="00271775"/>
    <w:rsid w:val="00273EC2"/>
    <w:rsid w:val="00274946"/>
    <w:rsid w:val="0027570F"/>
    <w:rsid w:val="00275ECB"/>
    <w:rsid w:val="00276596"/>
    <w:rsid w:val="002765AB"/>
    <w:rsid w:val="00276B58"/>
    <w:rsid w:val="00285364"/>
    <w:rsid w:val="00287536"/>
    <w:rsid w:val="00290515"/>
    <w:rsid w:val="00290780"/>
    <w:rsid w:val="0029096B"/>
    <w:rsid w:val="002914AA"/>
    <w:rsid w:val="00291E51"/>
    <w:rsid w:val="0029268E"/>
    <w:rsid w:val="00292837"/>
    <w:rsid w:val="00292A06"/>
    <w:rsid w:val="00292C3B"/>
    <w:rsid w:val="00292EBB"/>
    <w:rsid w:val="0029377B"/>
    <w:rsid w:val="00293D5C"/>
    <w:rsid w:val="00294935"/>
    <w:rsid w:val="00294E00"/>
    <w:rsid w:val="0029586F"/>
    <w:rsid w:val="00295B9A"/>
    <w:rsid w:val="00296D77"/>
    <w:rsid w:val="00297468"/>
    <w:rsid w:val="002977B8"/>
    <w:rsid w:val="00297C0A"/>
    <w:rsid w:val="002A0610"/>
    <w:rsid w:val="002A1F4D"/>
    <w:rsid w:val="002A206B"/>
    <w:rsid w:val="002A2BF6"/>
    <w:rsid w:val="002A4623"/>
    <w:rsid w:val="002A4871"/>
    <w:rsid w:val="002A4DCD"/>
    <w:rsid w:val="002A4E5C"/>
    <w:rsid w:val="002A5518"/>
    <w:rsid w:val="002A5D12"/>
    <w:rsid w:val="002A5EA3"/>
    <w:rsid w:val="002A6BE2"/>
    <w:rsid w:val="002A797A"/>
    <w:rsid w:val="002B0F83"/>
    <w:rsid w:val="002B1475"/>
    <w:rsid w:val="002B153A"/>
    <w:rsid w:val="002B1A52"/>
    <w:rsid w:val="002B28FD"/>
    <w:rsid w:val="002B2E89"/>
    <w:rsid w:val="002B5685"/>
    <w:rsid w:val="002B5B26"/>
    <w:rsid w:val="002B5CE3"/>
    <w:rsid w:val="002C2457"/>
    <w:rsid w:val="002C249B"/>
    <w:rsid w:val="002C3DDD"/>
    <w:rsid w:val="002C484F"/>
    <w:rsid w:val="002C58E6"/>
    <w:rsid w:val="002C594F"/>
    <w:rsid w:val="002C67B0"/>
    <w:rsid w:val="002C7116"/>
    <w:rsid w:val="002D239F"/>
    <w:rsid w:val="002D3121"/>
    <w:rsid w:val="002D4666"/>
    <w:rsid w:val="002D6E93"/>
    <w:rsid w:val="002E24FD"/>
    <w:rsid w:val="002E32B4"/>
    <w:rsid w:val="002E436C"/>
    <w:rsid w:val="002E4370"/>
    <w:rsid w:val="002E48DB"/>
    <w:rsid w:val="002E609D"/>
    <w:rsid w:val="002E620D"/>
    <w:rsid w:val="002F0277"/>
    <w:rsid w:val="002F0B9E"/>
    <w:rsid w:val="002F2661"/>
    <w:rsid w:val="002F32FA"/>
    <w:rsid w:val="002F3705"/>
    <w:rsid w:val="002F3E52"/>
    <w:rsid w:val="002F6463"/>
    <w:rsid w:val="00300950"/>
    <w:rsid w:val="00302695"/>
    <w:rsid w:val="00302C0E"/>
    <w:rsid w:val="0030359A"/>
    <w:rsid w:val="003041AC"/>
    <w:rsid w:val="00304394"/>
    <w:rsid w:val="00304399"/>
    <w:rsid w:val="00306040"/>
    <w:rsid w:val="0030765D"/>
    <w:rsid w:val="00307CE6"/>
    <w:rsid w:val="00307D5D"/>
    <w:rsid w:val="00307F92"/>
    <w:rsid w:val="003102D0"/>
    <w:rsid w:val="0031036F"/>
    <w:rsid w:val="00310C7B"/>
    <w:rsid w:val="00311079"/>
    <w:rsid w:val="003117E7"/>
    <w:rsid w:val="00311CCF"/>
    <w:rsid w:val="00311EB6"/>
    <w:rsid w:val="00312D9C"/>
    <w:rsid w:val="00314A36"/>
    <w:rsid w:val="00314EA9"/>
    <w:rsid w:val="0031538C"/>
    <w:rsid w:val="00316DF2"/>
    <w:rsid w:val="00317B61"/>
    <w:rsid w:val="00317EAE"/>
    <w:rsid w:val="00320E96"/>
    <w:rsid w:val="0032144E"/>
    <w:rsid w:val="00321AC4"/>
    <w:rsid w:val="003226AD"/>
    <w:rsid w:val="00325C96"/>
    <w:rsid w:val="003265C5"/>
    <w:rsid w:val="00326B5E"/>
    <w:rsid w:val="00326B92"/>
    <w:rsid w:val="00326C80"/>
    <w:rsid w:val="003271B9"/>
    <w:rsid w:val="003278D1"/>
    <w:rsid w:val="00330E30"/>
    <w:rsid w:val="00331468"/>
    <w:rsid w:val="003316B3"/>
    <w:rsid w:val="00332294"/>
    <w:rsid w:val="00333C5A"/>
    <w:rsid w:val="00334373"/>
    <w:rsid w:val="003352E2"/>
    <w:rsid w:val="00336B56"/>
    <w:rsid w:val="003376B6"/>
    <w:rsid w:val="003410E5"/>
    <w:rsid w:val="0034176F"/>
    <w:rsid w:val="00342B54"/>
    <w:rsid w:val="003430A7"/>
    <w:rsid w:val="00343130"/>
    <w:rsid w:val="003439E1"/>
    <w:rsid w:val="0034415B"/>
    <w:rsid w:val="003444C1"/>
    <w:rsid w:val="00346416"/>
    <w:rsid w:val="00346A3F"/>
    <w:rsid w:val="00346AA0"/>
    <w:rsid w:val="00346BFB"/>
    <w:rsid w:val="00347B98"/>
    <w:rsid w:val="0035028C"/>
    <w:rsid w:val="00350921"/>
    <w:rsid w:val="00351D47"/>
    <w:rsid w:val="003530B3"/>
    <w:rsid w:val="00353417"/>
    <w:rsid w:val="00353CF5"/>
    <w:rsid w:val="00354521"/>
    <w:rsid w:val="00354A5E"/>
    <w:rsid w:val="00354FFE"/>
    <w:rsid w:val="00360C9D"/>
    <w:rsid w:val="003638DF"/>
    <w:rsid w:val="00363F56"/>
    <w:rsid w:val="00365429"/>
    <w:rsid w:val="00366645"/>
    <w:rsid w:val="0036779A"/>
    <w:rsid w:val="00367E29"/>
    <w:rsid w:val="00370560"/>
    <w:rsid w:val="0037078F"/>
    <w:rsid w:val="003724BD"/>
    <w:rsid w:val="00375C48"/>
    <w:rsid w:val="00376ADF"/>
    <w:rsid w:val="0037773E"/>
    <w:rsid w:val="00377911"/>
    <w:rsid w:val="00380FE6"/>
    <w:rsid w:val="00383210"/>
    <w:rsid w:val="00383D0C"/>
    <w:rsid w:val="00384712"/>
    <w:rsid w:val="0038547F"/>
    <w:rsid w:val="00386C91"/>
    <w:rsid w:val="00387933"/>
    <w:rsid w:val="00390998"/>
    <w:rsid w:val="0039120C"/>
    <w:rsid w:val="00391A1A"/>
    <w:rsid w:val="00391C73"/>
    <w:rsid w:val="003938CA"/>
    <w:rsid w:val="00394BF4"/>
    <w:rsid w:val="00394C72"/>
    <w:rsid w:val="00394DA4"/>
    <w:rsid w:val="003967E6"/>
    <w:rsid w:val="00397581"/>
    <w:rsid w:val="00397FE8"/>
    <w:rsid w:val="003A119E"/>
    <w:rsid w:val="003A18B0"/>
    <w:rsid w:val="003A21BA"/>
    <w:rsid w:val="003A2B38"/>
    <w:rsid w:val="003A4573"/>
    <w:rsid w:val="003A49AC"/>
    <w:rsid w:val="003A5567"/>
    <w:rsid w:val="003A5F38"/>
    <w:rsid w:val="003A67C4"/>
    <w:rsid w:val="003B1490"/>
    <w:rsid w:val="003B1A1C"/>
    <w:rsid w:val="003B2C94"/>
    <w:rsid w:val="003B5022"/>
    <w:rsid w:val="003B5273"/>
    <w:rsid w:val="003B599D"/>
    <w:rsid w:val="003B6237"/>
    <w:rsid w:val="003B67A5"/>
    <w:rsid w:val="003B7DCC"/>
    <w:rsid w:val="003C0575"/>
    <w:rsid w:val="003C1899"/>
    <w:rsid w:val="003C1BB4"/>
    <w:rsid w:val="003C2CAF"/>
    <w:rsid w:val="003C3E04"/>
    <w:rsid w:val="003C5E48"/>
    <w:rsid w:val="003C6F1E"/>
    <w:rsid w:val="003D2B63"/>
    <w:rsid w:val="003D439F"/>
    <w:rsid w:val="003D455A"/>
    <w:rsid w:val="003D5181"/>
    <w:rsid w:val="003D6188"/>
    <w:rsid w:val="003D70CA"/>
    <w:rsid w:val="003E0CE8"/>
    <w:rsid w:val="003E17EB"/>
    <w:rsid w:val="003E3A2C"/>
    <w:rsid w:val="003E573C"/>
    <w:rsid w:val="003E5895"/>
    <w:rsid w:val="003E5D1B"/>
    <w:rsid w:val="003E74F2"/>
    <w:rsid w:val="003E7E2E"/>
    <w:rsid w:val="003F110F"/>
    <w:rsid w:val="003F2AC0"/>
    <w:rsid w:val="003F3CE4"/>
    <w:rsid w:val="003F4483"/>
    <w:rsid w:val="003F62E6"/>
    <w:rsid w:val="003F67C7"/>
    <w:rsid w:val="00400021"/>
    <w:rsid w:val="0040021B"/>
    <w:rsid w:val="00402B8A"/>
    <w:rsid w:val="00402BA9"/>
    <w:rsid w:val="00402F4C"/>
    <w:rsid w:val="00404DFF"/>
    <w:rsid w:val="00405A0A"/>
    <w:rsid w:val="00405FED"/>
    <w:rsid w:val="004068FD"/>
    <w:rsid w:val="004076D8"/>
    <w:rsid w:val="00411207"/>
    <w:rsid w:val="00413AE2"/>
    <w:rsid w:val="00414466"/>
    <w:rsid w:val="004144E9"/>
    <w:rsid w:val="0041659A"/>
    <w:rsid w:val="004215A6"/>
    <w:rsid w:val="004217B0"/>
    <w:rsid w:val="00422239"/>
    <w:rsid w:val="004234A2"/>
    <w:rsid w:val="004245FE"/>
    <w:rsid w:val="004246D7"/>
    <w:rsid w:val="004272F7"/>
    <w:rsid w:val="00427A08"/>
    <w:rsid w:val="00427A2B"/>
    <w:rsid w:val="0043027A"/>
    <w:rsid w:val="00431293"/>
    <w:rsid w:val="00433407"/>
    <w:rsid w:val="004339A0"/>
    <w:rsid w:val="00433F26"/>
    <w:rsid w:val="00434AE3"/>
    <w:rsid w:val="00435D4A"/>
    <w:rsid w:val="004364BB"/>
    <w:rsid w:val="00436CEA"/>
    <w:rsid w:val="00437080"/>
    <w:rsid w:val="00437743"/>
    <w:rsid w:val="00437AB1"/>
    <w:rsid w:val="0044355A"/>
    <w:rsid w:val="00444E3A"/>
    <w:rsid w:val="004502B3"/>
    <w:rsid w:val="0045059D"/>
    <w:rsid w:val="004526F5"/>
    <w:rsid w:val="0045293D"/>
    <w:rsid w:val="00452AB9"/>
    <w:rsid w:val="0045494A"/>
    <w:rsid w:val="00455504"/>
    <w:rsid w:val="004555B2"/>
    <w:rsid w:val="00455B3A"/>
    <w:rsid w:val="00456CD8"/>
    <w:rsid w:val="00457D72"/>
    <w:rsid w:val="00457F4E"/>
    <w:rsid w:val="004614B2"/>
    <w:rsid w:val="004621DE"/>
    <w:rsid w:val="004635C6"/>
    <w:rsid w:val="004647B4"/>
    <w:rsid w:val="004650EE"/>
    <w:rsid w:val="00470CBD"/>
    <w:rsid w:val="00470D68"/>
    <w:rsid w:val="00471994"/>
    <w:rsid w:val="00472449"/>
    <w:rsid w:val="00472B52"/>
    <w:rsid w:val="00472CBA"/>
    <w:rsid w:val="00474134"/>
    <w:rsid w:val="00474BB8"/>
    <w:rsid w:val="00474D95"/>
    <w:rsid w:val="00474F15"/>
    <w:rsid w:val="00475026"/>
    <w:rsid w:val="0047621E"/>
    <w:rsid w:val="004809D9"/>
    <w:rsid w:val="00481736"/>
    <w:rsid w:val="00481CFC"/>
    <w:rsid w:val="0048447A"/>
    <w:rsid w:val="0048755C"/>
    <w:rsid w:val="0049153C"/>
    <w:rsid w:val="00495A4B"/>
    <w:rsid w:val="00495A8D"/>
    <w:rsid w:val="00495B26"/>
    <w:rsid w:val="00495B9A"/>
    <w:rsid w:val="00495C02"/>
    <w:rsid w:val="00495CB4"/>
    <w:rsid w:val="00495EE0"/>
    <w:rsid w:val="004A2E26"/>
    <w:rsid w:val="004A313E"/>
    <w:rsid w:val="004A5917"/>
    <w:rsid w:val="004A5941"/>
    <w:rsid w:val="004A6F74"/>
    <w:rsid w:val="004A72CF"/>
    <w:rsid w:val="004B0061"/>
    <w:rsid w:val="004B02EF"/>
    <w:rsid w:val="004B05F3"/>
    <w:rsid w:val="004B0ACE"/>
    <w:rsid w:val="004B326B"/>
    <w:rsid w:val="004B362E"/>
    <w:rsid w:val="004B3D88"/>
    <w:rsid w:val="004B42BF"/>
    <w:rsid w:val="004B4772"/>
    <w:rsid w:val="004B4B16"/>
    <w:rsid w:val="004B4CD5"/>
    <w:rsid w:val="004B5211"/>
    <w:rsid w:val="004B5A85"/>
    <w:rsid w:val="004B62FE"/>
    <w:rsid w:val="004B6537"/>
    <w:rsid w:val="004B70FA"/>
    <w:rsid w:val="004B7E2C"/>
    <w:rsid w:val="004C0112"/>
    <w:rsid w:val="004C18E3"/>
    <w:rsid w:val="004C2A0C"/>
    <w:rsid w:val="004C4603"/>
    <w:rsid w:val="004C5452"/>
    <w:rsid w:val="004C665A"/>
    <w:rsid w:val="004D145D"/>
    <w:rsid w:val="004D1666"/>
    <w:rsid w:val="004D25C3"/>
    <w:rsid w:val="004D3D38"/>
    <w:rsid w:val="004D3DB5"/>
    <w:rsid w:val="004D3FF8"/>
    <w:rsid w:val="004D40C0"/>
    <w:rsid w:val="004D4744"/>
    <w:rsid w:val="004D47BB"/>
    <w:rsid w:val="004D4ACD"/>
    <w:rsid w:val="004D7181"/>
    <w:rsid w:val="004E0275"/>
    <w:rsid w:val="004E0299"/>
    <w:rsid w:val="004E05DD"/>
    <w:rsid w:val="004E1092"/>
    <w:rsid w:val="004E21F0"/>
    <w:rsid w:val="004E2377"/>
    <w:rsid w:val="004E424F"/>
    <w:rsid w:val="004E4361"/>
    <w:rsid w:val="004E5097"/>
    <w:rsid w:val="004E597F"/>
    <w:rsid w:val="004E62ED"/>
    <w:rsid w:val="004E6A82"/>
    <w:rsid w:val="004E7ED5"/>
    <w:rsid w:val="004F03FB"/>
    <w:rsid w:val="004F10B9"/>
    <w:rsid w:val="004F114C"/>
    <w:rsid w:val="004F125F"/>
    <w:rsid w:val="004F1A87"/>
    <w:rsid w:val="004F2E5E"/>
    <w:rsid w:val="004F419A"/>
    <w:rsid w:val="00500293"/>
    <w:rsid w:val="00500630"/>
    <w:rsid w:val="00500BA4"/>
    <w:rsid w:val="005014DA"/>
    <w:rsid w:val="00504142"/>
    <w:rsid w:val="00504490"/>
    <w:rsid w:val="005055C2"/>
    <w:rsid w:val="00505B41"/>
    <w:rsid w:val="00505C3E"/>
    <w:rsid w:val="00506C4C"/>
    <w:rsid w:val="00510155"/>
    <w:rsid w:val="005123D9"/>
    <w:rsid w:val="00512D18"/>
    <w:rsid w:val="00512EF7"/>
    <w:rsid w:val="005130F1"/>
    <w:rsid w:val="00514EAC"/>
    <w:rsid w:val="00515031"/>
    <w:rsid w:val="005153AA"/>
    <w:rsid w:val="00517DF6"/>
    <w:rsid w:val="0052015F"/>
    <w:rsid w:val="00521A5A"/>
    <w:rsid w:val="0052219D"/>
    <w:rsid w:val="005233CA"/>
    <w:rsid w:val="005246F2"/>
    <w:rsid w:val="00525CE7"/>
    <w:rsid w:val="00526DD1"/>
    <w:rsid w:val="00527D1C"/>
    <w:rsid w:val="00527D2F"/>
    <w:rsid w:val="005314C9"/>
    <w:rsid w:val="00532397"/>
    <w:rsid w:val="00533A1D"/>
    <w:rsid w:val="00536710"/>
    <w:rsid w:val="00540E5B"/>
    <w:rsid w:val="00541747"/>
    <w:rsid w:val="00541990"/>
    <w:rsid w:val="00542739"/>
    <w:rsid w:val="00543F14"/>
    <w:rsid w:val="0054429C"/>
    <w:rsid w:val="00544675"/>
    <w:rsid w:val="00544956"/>
    <w:rsid w:val="00544BF7"/>
    <w:rsid w:val="00545CA5"/>
    <w:rsid w:val="00546DC1"/>
    <w:rsid w:val="00550444"/>
    <w:rsid w:val="00550E23"/>
    <w:rsid w:val="0055112F"/>
    <w:rsid w:val="00552641"/>
    <w:rsid w:val="0055265B"/>
    <w:rsid w:val="005531BC"/>
    <w:rsid w:val="005534BA"/>
    <w:rsid w:val="00554445"/>
    <w:rsid w:val="0055469E"/>
    <w:rsid w:val="005552EF"/>
    <w:rsid w:val="00555544"/>
    <w:rsid w:val="00557671"/>
    <w:rsid w:val="00560712"/>
    <w:rsid w:val="00560F0A"/>
    <w:rsid w:val="00561D20"/>
    <w:rsid w:val="00561F44"/>
    <w:rsid w:val="005622F8"/>
    <w:rsid w:val="005625E3"/>
    <w:rsid w:val="00562BA3"/>
    <w:rsid w:val="00562C24"/>
    <w:rsid w:val="00563A93"/>
    <w:rsid w:val="00564BF0"/>
    <w:rsid w:val="00565960"/>
    <w:rsid w:val="005665E6"/>
    <w:rsid w:val="005672EB"/>
    <w:rsid w:val="00570188"/>
    <w:rsid w:val="005703A1"/>
    <w:rsid w:val="00570B05"/>
    <w:rsid w:val="005723FE"/>
    <w:rsid w:val="00572501"/>
    <w:rsid w:val="00572C29"/>
    <w:rsid w:val="005730CD"/>
    <w:rsid w:val="0057319B"/>
    <w:rsid w:val="00573B8F"/>
    <w:rsid w:val="0057440E"/>
    <w:rsid w:val="00574BA2"/>
    <w:rsid w:val="0057647E"/>
    <w:rsid w:val="0057796F"/>
    <w:rsid w:val="005813C5"/>
    <w:rsid w:val="005814D8"/>
    <w:rsid w:val="00582110"/>
    <w:rsid w:val="00582212"/>
    <w:rsid w:val="00582EFE"/>
    <w:rsid w:val="00583993"/>
    <w:rsid w:val="00585169"/>
    <w:rsid w:val="00585BA7"/>
    <w:rsid w:val="00586BE6"/>
    <w:rsid w:val="00586EE1"/>
    <w:rsid w:val="005876E0"/>
    <w:rsid w:val="00587A96"/>
    <w:rsid w:val="00587B4A"/>
    <w:rsid w:val="005903B4"/>
    <w:rsid w:val="00590610"/>
    <w:rsid w:val="00591BEB"/>
    <w:rsid w:val="00592455"/>
    <w:rsid w:val="00592517"/>
    <w:rsid w:val="00593E01"/>
    <w:rsid w:val="005948E5"/>
    <w:rsid w:val="00594B02"/>
    <w:rsid w:val="00594D14"/>
    <w:rsid w:val="005953B1"/>
    <w:rsid w:val="005A0F5F"/>
    <w:rsid w:val="005A177B"/>
    <w:rsid w:val="005A3132"/>
    <w:rsid w:val="005A4DB1"/>
    <w:rsid w:val="005A56F2"/>
    <w:rsid w:val="005A7371"/>
    <w:rsid w:val="005A7E41"/>
    <w:rsid w:val="005B0DAD"/>
    <w:rsid w:val="005B1A41"/>
    <w:rsid w:val="005B4E8B"/>
    <w:rsid w:val="005B52CA"/>
    <w:rsid w:val="005B5313"/>
    <w:rsid w:val="005B597B"/>
    <w:rsid w:val="005B5E59"/>
    <w:rsid w:val="005B6255"/>
    <w:rsid w:val="005B640E"/>
    <w:rsid w:val="005B644B"/>
    <w:rsid w:val="005B6AA8"/>
    <w:rsid w:val="005B751D"/>
    <w:rsid w:val="005C0AA3"/>
    <w:rsid w:val="005C0E5B"/>
    <w:rsid w:val="005C12B6"/>
    <w:rsid w:val="005C1C49"/>
    <w:rsid w:val="005C24B9"/>
    <w:rsid w:val="005C2A94"/>
    <w:rsid w:val="005C39EC"/>
    <w:rsid w:val="005C3BF4"/>
    <w:rsid w:val="005C4366"/>
    <w:rsid w:val="005C50A4"/>
    <w:rsid w:val="005C6334"/>
    <w:rsid w:val="005C78A8"/>
    <w:rsid w:val="005C7F82"/>
    <w:rsid w:val="005D10B9"/>
    <w:rsid w:val="005D1DB7"/>
    <w:rsid w:val="005D2A9C"/>
    <w:rsid w:val="005D2E0B"/>
    <w:rsid w:val="005D3199"/>
    <w:rsid w:val="005D758A"/>
    <w:rsid w:val="005D7B9F"/>
    <w:rsid w:val="005D7BDB"/>
    <w:rsid w:val="005E14F0"/>
    <w:rsid w:val="005E1D55"/>
    <w:rsid w:val="005E21A0"/>
    <w:rsid w:val="005E276A"/>
    <w:rsid w:val="005E34B5"/>
    <w:rsid w:val="005E385D"/>
    <w:rsid w:val="005E392B"/>
    <w:rsid w:val="005E5528"/>
    <w:rsid w:val="005E5DE3"/>
    <w:rsid w:val="005E614F"/>
    <w:rsid w:val="005E6F41"/>
    <w:rsid w:val="005E7907"/>
    <w:rsid w:val="005F037C"/>
    <w:rsid w:val="005F18F8"/>
    <w:rsid w:val="005F207E"/>
    <w:rsid w:val="005F214C"/>
    <w:rsid w:val="005F2CD4"/>
    <w:rsid w:val="005F5A05"/>
    <w:rsid w:val="005F5ED4"/>
    <w:rsid w:val="005F6222"/>
    <w:rsid w:val="005F6496"/>
    <w:rsid w:val="005F696B"/>
    <w:rsid w:val="00600698"/>
    <w:rsid w:val="006006B0"/>
    <w:rsid w:val="00600ACA"/>
    <w:rsid w:val="00601676"/>
    <w:rsid w:val="00601B6A"/>
    <w:rsid w:val="0060202A"/>
    <w:rsid w:val="00602708"/>
    <w:rsid w:val="00602EDD"/>
    <w:rsid w:val="0060300A"/>
    <w:rsid w:val="00603F47"/>
    <w:rsid w:val="006040C3"/>
    <w:rsid w:val="00604D43"/>
    <w:rsid w:val="00605057"/>
    <w:rsid w:val="006051B2"/>
    <w:rsid w:val="00606997"/>
    <w:rsid w:val="006100AA"/>
    <w:rsid w:val="00611001"/>
    <w:rsid w:val="00611FC0"/>
    <w:rsid w:val="0061246B"/>
    <w:rsid w:val="00613471"/>
    <w:rsid w:val="00615513"/>
    <w:rsid w:val="0062021B"/>
    <w:rsid w:val="00620410"/>
    <w:rsid w:val="00620582"/>
    <w:rsid w:val="00623174"/>
    <w:rsid w:val="0062470E"/>
    <w:rsid w:val="00624966"/>
    <w:rsid w:val="00624E97"/>
    <w:rsid w:val="006250A9"/>
    <w:rsid w:val="006254AC"/>
    <w:rsid w:val="006275D2"/>
    <w:rsid w:val="006276D1"/>
    <w:rsid w:val="0063128E"/>
    <w:rsid w:val="00631802"/>
    <w:rsid w:val="00632E23"/>
    <w:rsid w:val="006334FA"/>
    <w:rsid w:val="006337F5"/>
    <w:rsid w:val="00634983"/>
    <w:rsid w:val="00634ACD"/>
    <w:rsid w:val="00635005"/>
    <w:rsid w:val="00635798"/>
    <w:rsid w:val="0063689F"/>
    <w:rsid w:val="00636B35"/>
    <w:rsid w:val="00636CE2"/>
    <w:rsid w:val="00637964"/>
    <w:rsid w:val="00637D8F"/>
    <w:rsid w:val="00637F0E"/>
    <w:rsid w:val="00641468"/>
    <w:rsid w:val="0064197F"/>
    <w:rsid w:val="00641D90"/>
    <w:rsid w:val="00643B98"/>
    <w:rsid w:val="00644617"/>
    <w:rsid w:val="00645D3C"/>
    <w:rsid w:val="006464E7"/>
    <w:rsid w:val="0064653C"/>
    <w:rsid w:val="00646AF4"/>
    <w:rsid w:val="00647AA0"/>
    <w:rsid w:val="00650C69"/>
    <w:rsid w:val="0065171F"/>
    <w:rsid w:val="00653325"/>
    <w:rsid w:val="00654E69"/>
    <w:rsid w:val="0065557C"/>
    <w:rsid w:val="00655AB8"/>
    <w:rsid w:val="00655DF8"/>
    <w:rsid w:val="00657277"/>
    <w:rsid w:val="006572F4"/>
    <w:rsid w:val="00660000"/>
    <w:rsid w:val="00662C68"/>
    <w:rsid w:val="00662DBF"/>
    <w:rsid w:val="00663654"/>
    <w:rsid w:val="00664F08"/>
    <w:rsid w:val="00666F36"/>
    <w:rsid w:val="006702B2"/>
    <w:rsid w:val="006734EE"/>
    <w:rsid w:val="00673565"/>
    <w:rsid w:val="006740E3"/>
    <w:rsid w:val="0067496F"/>
    <w:rsid w:val="006773AA"/>
    <w:rsid w:val="006778CD"/>
    <w:rsid w:val="0067790C"/>
    <w:rsid w:val="0068065D"/>
    <w:rsid w:val="0068268E"/>
    <w:rsid w:val="00682C86"/>
    <w:rsid w:val="00683618"/>
    <w:rsid w:val="00683751"/>
    <w:rsid w:val="00683BCD"/>
    <w:rsid w:val="00686AFD"/>
    <w:rsid w:val="006877D1"/>
    <w:rsid w:val="00687D64"/>
    <w:rsid w:val="006903F8"/>
    <w:rsid w:val="00691277"/>
    <w:rsid w:val="0069253E"/>
    <w:rsid w:val="00694325"/>
    <w:rsid w:val="00696E46"/>
    <w:rsid w:val="00697BDD"/>
    <w:rsid w:val="006A04C9"/>
    <w:rsid w:val="006A231E"/>
    <w:rsid w:val="006A3177"/>
    <w:rsid w:val="006A468C"/>
    <w:rsid w:val="006A59D6"/>
    <w:rsid w:val="006A5A5B"/>
    <w:rsid w:val="006A5F1E"/>
    <w:rsid w:val="006A7379"/>
    <w:rsid w:val="006A749A"/>
    <w:rsid w:val="006B1F81"/>
    <w:rsid w:val="006B1FD0"/>
    <w:rsid w:val="006B2174"/>
    <w:rsid w:val="006B3D61"/>
    <w:rsid w:val="006B49ED"/>
    <w:rsid w:val="006B4FF4"/>
    <w:rsid w:val="006B607E"/>
    <w:rsid w:val="006B6619"/>
    <w:rsid w:val="006B760C"/>
    <w:rsid w:val="006B79BA"/>
    <w:rsid w:val="006B7CA4"/>
    <w:rsid w:val="006C0988"/>
    <w:rsid w:val="006C0ED5"/>
    <w:rsid w:val="006C2298"/>
    <w:rsid w:val="006C2DAD"/>
    <w:rsid w:val="006C36DE"/>
    <w:rsid w:val="006C498A"/>
    <w:rsid w:val="006C4BCB"/>
    <w:rsid w:val="006C4CA0"/>
    <w:rsid w:val="006C53FC"/>
    <w:rsid w:val="006C7446"/>
    <w:rsid w:val="006C7EB7"/>
    <w:rsid w:val="006D089B"/>
    <w:rsid w:val="006D0C65"/>
    <w:rsid w:val="006D115B"/>
    <w:rsid w:val="006D164C"/>
    <w:rsid w:val="006D2CDE"/>
    <w:rsid w:val="006D3724"/>
    <w:rsid w:val="006D4055"/>
    <w:rsid w:val="006D4A5E"/>
    <w:rsid w:val="006D50F8"/>
    <w:rsid w:val="006D6134"/>
    <w:rsid w:val="006D7147"/>
    <w:rsid w:val="006D7495"/>
    <w:rsid w:val="006E0A2B"/>
    <w:rsid w:val="006E23C6"/>
    <w:rsid w:val="006E32A9"/>
    <w:rsid w:val="006E363A"/>
    <w:rsid w:val="006E3646"/>
    <w:rsid w:val="006E3EA2"/>
    <w:rsid w:val="006E51BA"/>
    <w:rsid w:val="006E52AD"/>
    <w:rsid w:val="006E5A3A"/>
    <w:rsid w:val="006E6AEB"/>
    <w:rsid w:val="006E6B35"/>
    <w:rsid w:val="006F0182"/>
    <w:rsid w:val="006F0DC7"/>
    <w:rsid w:val="006F1FA3"/>
    <w:rsid w:val="006F2F54"/>
    <w:rsid w:val="006F3365"/>
    <w:rsid w:val="006F5F1F"/>
    <w:rsid w:val="006F7849"/>
    <w:rsid w:val="0070098F"/>
    <w:rsid w:val="007017AC"/>
    <w:rsid w:val="007017C7"/>
    <w:rsid w:val="00701BC9"/>
    <w:rsid w:val="00702FB8"/>
    <w:rsid w:val="00704EC4"/>
    <w:rsid w:val="00706739"/>
    <w:rsid w:val="00706EE2"/>
    <w:rsid w:val="0071064F"/>
    <w:rsid w:val="00710E09"/>
    <w:rsid w:val="00711B47"/>
    <w:rsid w:val="007129F3"/>
    <w:rsid w:val="00714ED9"/>
    <w:rsid w:val="007158BB"/>
    <w:rsid w:val="00715915"/>
    <w:rsid w:val="00715F3D"/>
    <w:rsid w:val="007175BE"/>
    <w:rsid w:val="007208F1"/>
    <w:rsid w:val="00721781"/>
    <w:rsid w:val="007219C4"/>
    <w:rsid w:val="00722502"/>
    <w:rsid w:val="00722784"/>
    <w:rsid w:val="00722BEB"/>
    <w:rsid w:val="00722E38"/>
    <w:rsid w:val="007239B1"/>
    <w:rsid w:val="0072477E"/>
    <w:rsid w:val="00724C70"/>
    <w:rsid w:val="00725936"/>
    <w:rsid w:val="00725CB6"/>
    <w:rsid w:val="007265C2"/>
    <w:rsid w:val="00726A58"/>
    <w:rsid w:val="00730F56"/>
    <w:rsid w:val="00734234"/>
    <w:rsid w:val="0073595F"/>
    <w:rsid w:val="00735D72"/>
    <w:rsid w:val="00736A98"/>
    <w:rsid w:val="00737A87"/>
    <w:rsid w:val="00737F74"/>
    <w:rsid w:val="007400AC"/>
    <w:rsid w:val="0074017A"/>
    <w:rsid w:val="007409E7"/>
    <w:rsid w:val="00740A47"/>
    <w:rsid w:val="007413AA"/>
    <w:rsid w:val="00743955"/>
    <w:rsid w:val="00743CA2"/>
    <w:rsid w:val="00744451"/>
    <w:rsid w:val="00744817"/>
    <w:rsid w:val="00744C5E"/>
    <w:rsid w:val="00745510"/>
    <w:rsid w:val="007455EF"/>
    <w:rsid w:val="00745E42"/>
    <w:rsid w:val="00746138"/>
    <w:rsid w:val="00746B81"/>
    <w:rsid w:val="0074733C"/>
    <w:rsid w:val="00747CBE"/>
    <w:rsid w:val="00752C35"/>
    <w:rsid w:val="007550D2"/>
    <w:rsid w:val="007550DD"/>
    <w:rsid w:val="0075554B"/>
    <w:rsid w:val="00756660"/>
    <w:rsid w:val="007569A3"/>
    <w:rsid w:val="007570C8"/>
    <w:rsid w:val="00761BFE"/>
    <w:rsid w:val="00762073"/>
    <w:rsid w:val="0076274C"/>
    <w:rsid w:val="00763302"/>
    <w:rsid w:val="00765149"/>
    <w:rsid w:val="0076571C"/>
    <w:rsid w:val="00765D68"/>
    <w:rsid w:val="00766A20"/>
    <w:rsid w:val="00766E72"/>
    <w:rsid w:val="00770C95"/>
    <w:rsid w:val="00771978"/>
    <w:rsid w:val="00771B1F"/>
    <w:rsid w:val="00772521"/>
    <w:rsid w:val="00774992"/>
    <w:rsid w:val="00775574"/>
    <w:rsid w:val="00775617"/>
    <w:rsid w:val="00776FB9"/>
    <w:rsid w:val="00781E2B"/>
    <w:rsid w:val="00781FF4"/>
    <w:rsid w:val="00782D36"/>
    <w:rsid w:val="00782EB2"/>
    <w:rsid w:val="00783577"/>
    <w:rsid w:val="007843B9"/>
    <w:rsid w:val="00784902"/>
    <w:rsid w:val="00786862"/>
    <w:rsid w:val="00790543"/>
    <w:rsid w:val="00791BC8"/>
    <w:rsid w:val="00791D45"/>
    <w:rsid w:val="00791F7F"/>
    <w:rsid w:val="00792DF5"/>
    <w:rsid w:val="00793422"/>
    <w:rsid w:val="00793B0B"/>
    <w:rsid w:val="00793BD5"/>
    <w:rsid w:val="00795D49"/>
    <w:rsid w:val="0079661B"/>
    <w:rsid w:val="00796D00"/>
    <w:rsid w:val="0079740A"/>
    <w:rsid w:val="00797C39"/>
    <w:rsid w:val="00797C44"/>
    <w:rsid w:val="007A1CE2"/>
    <w:rsid w:val="007A2D21"/>
    <w:rsid w:val="007A2F88"/>
    <w:rsid w:val="007A45E2"/>
    <w:rsid w:val="007A57AE"/>
    <w:rsid w:val="007A76E6"/>
    <w:rsid w:val="007B1481"/>
    <w:rsid w:val="007B181C"/>
    <w:rsid w:val="007B32F7"/>
    <w:rsid w:val="007B589B"/>
    <w:rsid w:val="007B618C"/>
    <w:rsid w:val="007B64BE"/>
    <w:rsid w:val="007B659D"/>
    <w:rsid w:val="007B68AA"/>
    <w:rsid w:val="007B6CAC"/>
    <w:rsid w:val="007B7206"/>
    <w:rsid w:val="007B789B"/>
    <w:rsid w:val="007C060C"/>
    <w:rsid w:val="007C156F"/>
    <w:rsid w:val="007C2C13"/>
    <w:rsid w:val="007C2EFC"/>
    <w:rsid w:val="007C32DD"/>
    <w:rsid w:val="007C60A4"/>
    <w:rsid w:val="007C7CD2"/>
    <w:rsid w:val="007D06A3"/>
    <w:rsid w:val="007D139D"/>
    <w:rsid w:val="007D1600"/>
    <w:rsid w:val="007D28A0"/>
    <w:rsid w:val="007D2DAF"/>
    <w:rsid w:val="007D44C9"/>
    <w:rsid w:val="007D4FE9"/>
    <w:rsid w:val="007D584D"/>
    <w:rsid w:val="007D7C90"/>
    <w:rsid w:val="007E2CB6"/>
    <w:rsid w:val="007E6A16"/>
    <w:rsid w:val="007E6B8C"/>
    <w:rsid w:val="007E74DC"/>
    <w:rsid w:val="007F0A84"/>
    <w:rsid w:val="007F0CC7"/>
    <w:rsid w:val="007F0CE7"/>
    <w:rsid w:val="007F124D"/>
    <w:rsid w:val="007F13C1"/>
    <w:rsid w:val="007F23CE"/>
    <w:rsid w:val="007F3479"/>
    <w:rsid w:val="007F3B07"/>
    <w:rsid w:val="007F3ED6"/>
    <w:rsid w:val="007F50B1"/>
    <w:rsid w:val="007F59FA"/>
    <w:rsid w:val="007F5AFD"/>
    <w:rsid w:val="007F678C"/>
    <w:rsid w:val="007F683E"/>
    <w:rsid w:val="00801EA3"/>
    <w:rsid w:val="00803AD0"/>
    <w:rsid w:val="00804603"/>
    <w:rsid w:val="008060F6"/>
    <w:rsid w:val="008066ED"/>
    <w:rsid w:val="00806A35"/>
    <w:rsid w:val="00806AF8"/>
    <w:rsid w:val="00807261"/>
    <w:rsid w:val="0081025F"/>
    <w:rsid w:val="00810B9F"/>
    <w:rsid w:val="00811931"/>
    <w:rsid w:val="00812205"/>
    <w:rsid w:val="00812C35"/>
    <w:rsid w:val="00812E75"/>
    <w:rsid w:val="00813294"/>
    <w:rsid w:val="00814108"/>
    <w:rsid w:val="00814413"/>
    <w:rsid w:val="008146AE"/>
    <w:rsid w:val="00814E07"/>
    <w:rsid w:val="00816656"/>
    <w:rsid w:val="00816D35"/>
    <w:rsid w:val="008204D7"/>
    <w:rsid w:val="0082306A"/>
    <w:rsid w:val="00823CAC"/>
    <w:rsid w:val="00825BE8"/>
    <w:rsid w:val="00826836"/>
    <w:rsid w:val="00827A17"/>
    <w:rsid w:val="008305CE"/>
    <w:rsid w:val="00831441"/>
    <w:rsid w:val="00832854"/>
    <w:rsid w:val="00833ECC"/>
    <w:rsid w:val="00833FBC"/>
    <w:rsid w:val="00834479"/>
    <w:rsid w:val="00834ED7"/>
    <w:rsid w:val="00834FC3"/>
    <w:rsid w:val="00835F34"/>
    <w:rsid w:val="008360FD"/>
    <w:rsid w:val="008404BE"/>
    <w:rsid w:val="00840E52"/>
    <w:rsid w:val="00841FEF"/>
    <w:rsid w:val="008431F7"/>
    <w:rsid w:val="008459D8"/>
    <w:rsid w:val="00847306"/>
    <w:rsid w:val="0084783A"/>
    <w:rsid w:val="008478FD"/>
    <w:rsid w:val="00847F33"/>
    <w:rsid w:val="00850212"/>
    <w:rsid w:val="008513BF"/>
    <w:rsid w:val="00851884"/>
    <w:rsid w:val="00852948"/>
    <w:rsid w:val="008529FD"/>
    <w:rsid w:val="00853253"/>
    <w:rsid w:val="00853704"/>
    <w:rsid w:val="00853FE0"/>
    <w:rsid w:val="00854CF5"/>
    <w:rsid w:val="00855544"/>
    <w:rsid w:val="008555F3"/>
    <w:rsid w:val="00855BFA"/>
    <w:rsid w:val="008575F5"/>
    <w:rsid w:val="0085766A"/>
    <w:rsid w:val="00857718"/>
    <w:rsid w:val="00860076"/>
    <w:rsid w:val="008602A3"/>
    <w:rsid w:val="00861A57"/>
    <w:rsid w:val="0086213F"/>
    <w:rsid w:val="008642E4"/>
    <w:rsid w:val="00864CEB"/>
    <w:rsid w:val="00865162"/>
    <w:rsid w:val="0086549D"/>
    <w:rsid w:val="00865606"/>
    <w:rsid w:val="00865EF0"/>
    <w:rsid w:val="00870A57"/>
    <w:rsid w:val="00870A5C"/>
    <w:rsid w:val="00871358"/>
    <w:rsid w:val="008714C3"/>
    <w:rsid w:val="00873195"/>
    <w:rsid w:val="00873D04"/>
    <w:rsid w:val="00874AFD"/>
    <w:rsid w:val="00874DA8"/>
    <w:rsid w:val="008769F1"/>
    <w:rsid w:val="00877252"/>
    <w:rsid w:val="00877EF7"/>
    <w:rsid w:val="0088003A"/>
    <w:rsid w:val="0088056D"/>
    <w:rsid w:val="0088080A"/>
    <w:rsid w:val="008808E6"/>
    <w:rsid w:val="008817CC"/>
    <w:rsid w:val="00883B4C"/>
    <w:rsid w:val="00883DF8"/>
    <w:rsid w:val="00884108"/>
    <w:rsid w:val="008861E5"/>
    <w:rsid w:val="00891C36"/>
    <w:rsid w:val="00891CDE"/>
    <w:rsid w:val="00892798"/>
    <w:rsid w:val="00892DFA"/>
    <w:rsid w:val="0089551F"/>
    <w:rsid w:val="0089653E"/>
    <w:rsid w:val="008965B4"/>
    <w:rsid w:val="00897759"/>
    <w:rsid w:val="00897C6F"/>
    <w:rsid w:val="008A0597"/>
    <w:rsid w:val="008A07D8"/>
    <w:rsid w:val="008A1E30"/>
    <w:rsid w:val="008A2390"/>
    <w:rsid w:val="008A2B38"/>
    <w:rsid w:val="008A2EDA"/>
    <w:rsid w:val="008A3135"/>
    <w:rsid w:val="008A32B1"/>
    <w:rsid w:val="008A39DF"/>
    <w:rsid w:val="008A440E"/>
    <w:rsid w:val="008A4A12"/>
    <w:rsid w:val="008A5445"/>
    <w:rsid w:val="008B09A2"/>
    <w:rsid w:val="008B118A"/>
    <w:rsid w:val="008B3D7E"/>
    <w:rsid w:val="008B5161"/>
    <w:rsid w:val="008B5D2D"/>
    <w:rsid w:val="008B60B1"/>
    <w:rsid w:val="008B6553"/>
    <w:rsid w:val="008B7E5D"/>
    <w:rsid w:val="008C08C4"/>
    <w:rsid w:val="008C094D"/>
    <w:rsid w:val="008C0D56"/>
    <w:rsid w:val="008C266F"/>
    <w:rsid w:val="008C3B7A"/>
    <w:rsid w:val="008C3DBA"/>
    <w:rsid w:val="008C4695"/>
    <w:rsid w:val="008C5D06"/>
    <w:rsid w:val="008C6750"/>
    <w:rsid w:val="008C6CA5"/>
    <w:rsid w:val="008C7424"/>
    <w:rsid w:val="008C7844"/>
    <w:rsid w:val="008C7E42"/>
    <w:rsid w:val="008D0338"/>
    <w:rsid w:val="008D284C"/>
    <w:rsid w:val="008D3A80"/>
    <w:rsid w:val="008D3D76"/>
    <w:rsid w:val="008D4EB0"/>
    <w:rsid w:val="008D512F"/>
    <w:rsid w:val="008D566D"/>
    <w:rsid w:val="008E00F0"/>
    <w:rsid w:val="008E0191"/>
    <w:rsid w:val="008E0AE6"/>
    <w:rsid w:val="008E15CE"/>
    <w:rsid w:val="008E1A36"/>
    <w:rsid w:val="008E2338"/>
    <w:rsid w:val="008E3CE2"/>
    <w:rsid w:val="008E4D19"/>
    <w:rsid w:val="008E4F62"/>
    <w:rsid w:val="008E5ACB"/>
    <w:rsid w:val="008F10A6"/>
    <w:rsid w:val="008F1684"/>
    <w:rsid w:val="008F22B7"/>
    <w:rsid w:val="008F24F6"/>
    <w:rsid w:val="008F47D8"/>
    <w:rsid w:val="008F4F5E"/>
    <w:rsid w:val="008F5773"/>
    <w:rsid w:val="008F5B3B"/>
    <w:rsid w:val="008F700D"/>
    <w:rsid w:val="008F7C30"/>
    <w:rsid w:val="009005E8"/>
    <w:rsid w:val="00900BB5"/>
    <w:rsid w:val="00900DAF"/>
    <w:rsid w:val="00901574"/>
    <w:rsid w:val="00901A23"/>
    <w:rsid w:val="00904388"/>
    <w:rsid w:val="00904FAC"/>
    <w:rsid w:val="00905ABD"/>
    <w:rsid w:val="0090752A"/>
    <w:rsid w:val="009076EC"/>
    <w:rsid w:val="00907E5E"/>
    <w:rsid w:val="0091053E"/>
    <w:rsid w:val="00911E24"/>
    <w:rsid w:val="009124DB"/>
    <w:rsid w:val="00912F76"/>
    <w:rsid w:val="00916292"/>
    <w:rsid w:val="00916B79"/>
    <w:rsid w:val="00917FC1"/>
    <w:rsid w:val="00920698"/>
    <w:rsid w:val="00920D22"/>
    <w:rsid w:val="0092249F"/>
    <w:rsid w:val="009240F6"/>
    <w:rsid w:val="00924599"/>
    <w:rsid w:val="00926353"/>
    <w:rsid w:val="009263BF"/>
    <w:rsid w:val="00926B2D"/>
    <w:rsid w:val="009317CA"/>
    <w:rsid w:val="00931A2D"/>
    <w:rsid w:val="0093226C"/>
    <w:rsid w:val="00932EF6"/>
    <w:rsid w:val="00933342"/>
    <w:rsid w:val="00933F1E"/>
    <w:rsid w:val="0093514D"/>
    <w:rsid w:val="00935760"/>
    <w:rsid w:val="00935C90"/>
    <w:rsid w:val="00936AB6"/>
    <w:rsid w:val="00940B0C"/>
    <w:rsid w:val="009417F0"/>
    <w:rsid w:val="00941B0C"/>
    <w:rsid w:val="0094295D"/>
    <w:rsid w:val="00943651"/>
    <w:rsid w:val="00943652"/>
    <w:rsid w:val="00943D18"/>
    <w:rsid w:val="00944645"/>
    <w:rsid w:val="00945034"/>
    <w:rsid w:val="00946325"/>
    <w:rsid w:val="009508CD"/>
    <w:rsid w:val="00951D4B"/>
    <w:rsid w:val="00951F9A"/>
    <w:rsid w:val="00952DA3"/>
    <w:rsid w:val="009531A0"/>
    <w:rsid w:val="00953685"/>
    <w:rsid w:val="00953791"/>
    <w:rsid w:val="00954B52"/>
    <w:rsid w:val="00954EF0"/>
    <w:rsid w:val="009553F6"/>
    <w:rsid w:val="00955CD0"/>
    <w:rsid w:val="00955E1D"/>
    <w:rsid w:val="00957C7C"/>
    <w:rsid w:val="00957E04"/>
    <w:rsid w:val="00960202"/>
    <w:rsid w:val="0096129D"/>
    <w:rsid w:val="00961417"/>
    <w:rsid w:val="0096162A"/>
    <w:rsid w:val="00961662"/>
    <w:rsid w:val="0096167D"/>
    <w:rsid w:val="009636AD"/>
    <w:rsid w:val="00963794"/>
    <w:rsid w:val="0096488E"/>
    <w:rsid w:val="00964B76"/>
    <w:rsid w:val="00964E30"/>
    <w:rsid w:val="00965D2B"/>
    <w:rsid w:val="00966220"/>
    <w:rsid w:val="00967692"/>
    <w:rsid w:val="00967A32"/>
    <w:rsid w:val="009703A9"/>
    <w:rsid w:val="00970C3D"/>
    <w:rsid w:val="009713BA"/>
    <w:rsid w:val="0097458E"/>
    <w:rsid w:val="00974EC8"/>
    <w:rsid w:val="00975234"/>
    <w:rsid w:val="00975DAA"/>
    <w:rsid w:val="009809F8"/>
    <w:rsid w:val="00983E3D"/>
    <w:rsid w:val="00983FC8"/>
    <w:rsid w:val="00985377"/>
    <w:rsid w:val="0098569A"/>
    <w:rsid w:val="00985B2B"/>
    <w:rsid w:val="00987744"/>
    <w:rsid w:val="00987CFB"/>
    <w:rsid w:val="00990D41"/>
    <w:rsid w:val="00991C97"/>
    <w:rsid w:val="0099298F"/>
    <w:rsid w:val="00994B47"/>
    <w:rsid w:val="00994DB4"/>
    <w:rsid w:val="00996265"/>
    <w:rsid w:val="00996283"/>
    <w:rsid w:val="009A02A9"/>
    <w:rsid w:val="009A19C7"/>
    <w:rsid w:val="009A3545"/>
    <w:rsid w:val="009A383B"/>
    <w:rsid w:val="009A393E"/>
    <w:rsid w:val="009A54E1"/>
    <w:rsid w:val="009B0B12"/>
    <w:rsid w:val="009B0B75"/>
    <w:rsid w:val="009B14C0"/>
    <w:rsid w:val="009B21D1"/>
    <w:rsid w:val="009B259A"/>
    <w:rsid w:val="009B25C8"/>
    <w:rsid w:val="009B309E"/>
    <w:rsid w:val="009B4459"/>
    <w:rsid w:val="009B4F45"/>
    <w:rsid w:val="009B66F1"/>
    <w:rsid w:val="009B6780"/>
    <w:rsid w:val="009B70C8"/>
    <w:rsid w:val="009B72E9"/>
    <w:rsid w:val="009C03E3"/>
    <w:rsid w:val="009C072D"/>
    <w:rsid w:val="009C32CE"/>
    <w:rsid w:val="009C3D9E"/>
    <w:rsid w:val="009C48D5"/>
    <w:rsid w:val="009C492E"/>
    <w:rsid w:val="009C64AA"/>
    <w:rsid w:val="009C69DE"/>
    <w:rsid w:val="009C7EAD"/>
    <w:rsid w:val="009D06D2"/>
    <w:rsid w:val="009D0D0C"/>
    <w:rsid w:val="009D220F"/>
    <w:rsid w:val="009D3C8B"/>
    <w:rsid w:val="009D58DC"/>
    <w:rsid w:val="009D5976"/>
    <w:rsid w:val="009D5D8E"/>
    <w:rsid w:val="009D7B1E"/>
    <w:rsid w:val="009E2B0B"/>
    <w:rsid w:val="009E2E28"/>
    <w:rsid w:val="009E519C"/>
    <w:rsid w:val="009E568B"/>
    <w:rsid w:val="009E6815"/>
    <w:rsid w:val="009F0686"/>
    <w:rsid w:val="009F19D0"/>
    <w:rsid w:val="009F22B6"/>
    <w:rsid w:val="009F2440"/>
    <w:rsid w:val="009F2C8D"/>
    <w:rsid w:val="009F625C"/>
    <w:rsid w:val="009F65F7"/>
    <w:rsid w:val="00A011F5"/>
    <w:rsid w:val="00A01622"/>
    <w:rsid w:val="00A017D7"/>
    <w:rsid w:val="00A0196E"/>
    <w:rsid w:val="00A01D3B"/>
    <w:rsid w:val="00A02060"/>
    <w:rsid w:val="00A027BD"/>
    <w:rsid w:val="00A029B7"/>
    <w:rsid w:val="00A02A20"/>
    <w:rsid w:val="00A02A57"/>
    <w:rsid w:val="00A02B44"/>
    <w:rsid w:val="00A02D9C"/>
    <w:rsid w:val="00A03DFD"/>
    <w:rsid w:val="00A03E3D"/>
    <w:rsid w:val="00A13549"/>
    <w:rsid w:val="00A13D32"/>
    <w:rsid w:val="00A14D11"/>
    <w:rsid w:val="00A15306"/>
    <w:rsid w:val="00A207F1"/>
    <w:rsid w:val="00A21352"/>
    <w:rsid w:val="00A21E70"/>
    <w:rsid w:val="00A221F3"/>
    <w:rsid w:val="00A22C22"/>
    <w:rsid w:val="00A233D6"/>
    <w:rsid w:val="00A250C8"/>
    <w:rsid w:val="00A25BBE"/>
    <w:rsid w:val="00A25E23"/>
    <w:rsid w:val="00A27E85"/>
    <w:rsid w:val="00A30B3D"/>
    <w:rsid w:val="00A30C15"/>
    <w:rsid w:val="00A30E97"/>
    <w:rsid w:val="00A312C3"/>
    <w:rsid w:val="00A3251F"/>
    <w:rsid w:val="00A32F7B"/>
    <w:rsid w:val="00A342F2"/>
    <w:rsid w:val="00A34E52"/>
    <w:rsid w:val="00A35594"/>
    <w:rsid w:val="00A37085"/>
    <w:rsid w:val="00A37C85"/>
    <w:rsid w:val="00A37DFD"/>
    <w:rsid w:val="00A41E0F"/>
    <w:rsid w:val="00A42FF1"/>
    <w:rsid w:val="00A478F9"/>
    <w:rsid w:val="00A52116"/>
    <w:rsid w:val="00A54D93"/>
    <w:rsid w:val="00A55304"/>
    <w:rsid w:val="00A5549C"/>
    <w:rsid w:val="00A60476"/>
    <w:rsid w:val="00A60C35"/>
    <w:rsid w:val="00A635C2"/>
    <w:rsid w:val="00A6487A"/>
    <w:rsid w:val="00A650D8"/>
    <w:rsid w:val="00A65348"/>
    <w:rsid w:val="00A65395"/>
    <w:rsid w:val="00A65BDE"/>
    <w:rsid w:val="00A6603A"/>
    <w:rsid w:val="00A664CC"/>
    <w:rsid w:val="00A667B7"/>
    <w:rsid w:val="00A71DD4"/>
    <w:rsid w:val="00A75C19"/>
    <w:rsid w:val="00A76960"/>
    <w:rsid w:val="00A80B02"/>
    <w:rsid w:val="00A82F15"/>
    <w:rsid w:val="00A84A82"/>
    <w:rsid w:val="00A8723C"/>
    <w:rsid w:val="00A878EB"/>
    <w:rsid w:val="00A87A05"/>
    <w:rsid w:val="00A92339"/>
    <w:rsid w:val="00A942ED"/>
    <w:rsid w:val="00A948C6"/>
    <w:rsid w:val="00A94B03"/>
    <w:rsid w:val="00A94C95"/>
    <w:rsid w:val="00A955B8"/>
    <w:rsid w:val="00A95E53"/>
    <w:rsid w:val="00A97726"/>
    <w:rsid w:val="00AA10A3"/>
    <w:rsid w:val="00AA2736"/>
    <w:rsid w:val="00AA27E2"/>
    <w:rsid w:val="00AA3685"/>
    <w:rsid w:val="00AA3E7F"/>
    <w:rsid w:val="00AA4897"/>
    <w:rsid w:val="00AA5A12"/>
    <w:rsid w:val="00AA66DB"/>
    <w:rsid w:val="00AB0E10"/>
    <w:rsid w:val="00AB1171"/>
    <w:rsid w:val="00AB15E2"/>
    <w:rsid w:val="00AB2C66"/>
    <w:rsid w:val="00AB34C5"/>
    <w:rsid w:val="00AB4BAB"/>
    <w:rsid w:val="00AB5D3C"/>
    <w:rsid w:val="00AB68C2"/>
    <w:rsid w:val="00AB70DF"/>
    <w:rsid w:val="00AB7A16"/>
    <w:rsid w:val="00AB7ABD"/>
    <w:rsid w:val="00AB7E11"/>
    <w:rsid w:val="00AC1E0C"/>
    <w:rsid w:val="00AC1EEA"/>
    <w:rsid w:val="00AC2049"/>
    <w:rsid w:val="00AC2349"/>
    <w:rsid w:val="00AC28CD"/>
    <w:rsid w:val="00AC3501"/>
    <w:rsid w:val="00AC371F"/>
    <w:rsid w:val="00AC386F"/>
    <w:rsid w:val="00AC3B38"/>
    <w:rsid w:val="00AC51C9"/>
    <w:rsid w:val="00AC6B39"/>
    <w:rsid w:val="00AC75AB"/>
    <w:rsid w:val="00AD0984"/>
    <w:rsid w:val="00AD231C"/>
    <w:rsid w:val="00AD4122"/>
    <w:rsid w:val="00AD4D73"/>
    <w:rsid w:val="00AD55B6"/>
    <w:rsid w:val="00AD73B8"/>
    <w:rsid w:val="00AD7510"/>
    <w:rsid w:val="00AE05CB"/>
    <w:rsid w:val="00AE3843"/>
    <w:rsid w:val="00AE43F4"/>
    <w:rsid w:val="00AE4CF5"/>
    <w:rsid w:val="00AE5078"/>
    <w:rsid w:val="00AE57F2"/>
    <w:rsid w:val="00AE697F"/>
    <w:rsid w:val="00AE6F83"/>
    <w:rsid w:val="00AF00F6"/>
    <w:rsid w:val="00AF05D6"/>
    <w:rsid w:val="00AF12AC"/>
    <w:rsid w:val="00AF2FC3"/>
    <w:rsid w:val="00AF4ED6"/>
    <w:rsid w:val="00AF5BAD"/>
    <w:rsid w:val="00AF61B9"/>
    <w:rsid w:val="00AF6D8B"/>
    <w:rsid w:val="00AF79AA"/>
    <w:rsid w:val="00AF7B04"/>
    <w:rsid w:val="00B00EFF"/>
    <w:rsid w:val="00B0301A"/>
    <w:rsid w:val="00B047E4"/>
    <w:rsid w:val="00B048DC"/>
    <w:rsid w:val="00B05B00"/>
    <w:rsid w:val="00B06973"/>
    <w:rsid w:val="00B10D3E"/>
    <w:rsid w:val="00B1168C"/>
    <w:rsid w:val="00B116E2"/>
    <w:rsid w:val="00B12392"/>
    <w:rsid w:val="00B12687"/>
    <w:rsid w:val="00B1280B"/>
    <w:rsid w:val="00B12E3E"/>
    <w:rsid w:val="00B1488B"/>
    <w:rsid w:val="00B15EB5"/>
    <w:rsid w:val="00B165A1"/>
    <w:rsid w:val="00B16D0E"/>
    <w:rsid w:val="00B16FFF"/>
    <w:rsid w:val="00B174F4"/>
    <w:rsid w:val="00B176D7"/>
    <w:rsid w:val="00B177AC"/>
    <w:rsid w:val="00B177FB"/>
    <w:rsid w:val="00B17D39"/>
    <w:rsid w:val="00B2048D"/>
    <w:rsid w:val="00B2059E"/>
    <w:rsid w:val="00B21C50"/>
    <w:rsid w:val="00B21C65"/>
    <w:rsid w:val="00B220E2"/>
    <w:rsid w:val="00B22324"/>
    <w:rsid w:val="00B22791"/>
    <w:rsid w:val="00B22AFC"/>
    <w:rsid w:val="00B2765A"/>
    <w:rsid w:val="00B3182C"/>
    <w:rsid w:val="00B329AC"/>
    <w:rsid w:val="00B34658"/>
    <w:rsid w:val="00B35885"/>
    <w:rsid w:val="00B35C57"/>
    <w:rsid w:val="00B372E8"/>
    <w:rsid w:val="00B4114B"/>
    <w:rsid w:val="00B41EF5"/>
    <w:rsid w:val="00B431EB"/>
    <w:rsid w:val="00B43F92"/>
    <w:rsid w:val="00B466A7"/>
    <w:rsid w:val="00B46F7E"/>
    <w:rsid w:val="00B473DF"/>
    <w:rsid w:val="00B51B1D"/>
    <w:rsid w:val="00B51E6F"/>
    <w:rsid w:val="00B54B09"/>
    <w:rsid w:val="00B56080"/>
    <w:rsid w:val="00B569D4"/>
    <w:rsid w:val="00B56F55"/>
    <w:rsid w:val="00B57E54"/>
    <w:rsid w:val="00B60482"/>
    <w:rsid w:val="00B62830"/>
    <w:rsid w:val="00B62F8C"/>
    <w:rsid w:val="00B64378"/>
    <w:rsid w:val="00B645A7"/>
    <w:rsid w:val="00B645D4"/>
    <w:rsid w:val="00B64900"/>
    <w:rsid w:val="00B64B30"/>
    <w:rsid w:val="00B65CC0"/>
    <w:rsid w:val="00B66DE0"/>
    <w:rsid w:val="00B67AEF"/>
    <w:rsid w:val="00B702B4"/>
    <w:rsid w:val="00B714C1"/>
    <w:rsid w:val="00B722AA"/>
    <w:rsid w:val="00B728B1"/>
    <w:rsid w:val="00B739D9"/>
    <w:rsid w:val="00B75816"/>
    <w:rsid w:val="00B76478"/>
    <w:rsid w:val="00B766EA"/>
    <w:rsid w:val="00B76750"/>
    <w:rsid w:val="00B770E6"/>
    <w:rsid w:val="00B77799"/>
    <w:rsid w:val="00B77D0A"/>
    <w:rsid w:val="00B80646"/>
    <w:rsid w:val="00B80FC9"/>
    <w:rsid w:val="00B83668"/>
    <w:rsid w:val="00B8431C"/>
    <w:rsid w:val="00B85EDF"/>
    <w:rsid w:val="00B86658"/>
    <w:rsid w:val="00B86B05"/>
    <w:rsid w:val="00B86D4F"/>
    <w:rsid w:val="00B91116"/>
    <w:rsid w:val="00B91AFE"/>
    <w:rsid w:val="00B91F93"/>
    <w:rsid w:val="00B92642"/>
    <w:rsid w:val="00B92BC7"/>
    <w:rsid w:val="00B92F81"/>
    <w:rsid w:val="00B931C3"/>
    <w:rsid w:val="00B95233"/>
    <w:rsid w:val="00B954E2"/>
    <w:rsid w:val="00B9591D"/>
    <w:rsid w:val="00B9635D"/>
    <w:rsid w:val="00B97848"/>
    <w:rsid w:val="00BA22AE"/>
    <w:rsid w:val="00BA22E3"/>
    <w:rsid w:val="00BA234D"/>
    <w:rsid w:val="00BA3878"/>
    <w:rsid w:val="00BA445C"/>
    <w:rsid w:val="00BA46AB"/>
    <w:rsid w:val="00BA46C5"/>
    <w:rsid w:val="00BA5C03"/>
    <w:rsid w:val="00BA6081"/>
    <w:rsid w:val="00BA6324"/>
    <w:rsid w:val="00BA7A12"/>
    <w:rsid w:val="00BB0B40"/>
    <w:rsid w:val="00BB0D90"/>
    <w:rsid w:val="00BB1F07"/>
    <w:rsid w:val="00BB21BF"/>
    <w:rsid w:val="00BB48B3"/>
    <w:rsid w:val="00BB4A3E"/>
    <w:rsid w:val="00BB4C49"/>
    <w:rsid w:val="00BB68D6"/>
    <w:rsid w:val="00BB6990"/>
    <w:rsid w:val="00BB6D75"/>
    <w:rsid w:val="00BC251F"/>
    <w:rsid w:val="00BC414F"/>
    <w:rsid w:val="00BC4863"/>
    <w:rsid w:val="00BC691C"/>
    <w:rsid w:val="00BD0E6B"/>
    <w:rsid w:val="00BD33DD"/>
    <w:rsid w:val="00BD3BD6"/>
    <w:rsid w:val="00BD472D"/>
    <w:rsid w:val="00BD4A64"/>
    <w:rsid w:val="00BD54FE"/>
    <w:rsid w:val="00BD5B02"/>
    <w:rsid w:val="00BD72B6"/>
    <w:rsid w:val="00BE0169"/>
    <w:rsid w:val="00BE03D0"/>
    <w:rsid w:val="00BE16A1"/>
    <w:rsid w:val="00BE2CE8"/>
    <w:rsid w:val="00BE368D"/>
    <w:rsid w:val="00BE649C"/>
    <w:rsid w:val="00BE7A9C"/>
    <w:rsid w:val="00BE7AB0"/>
    <w:rsid w:val="00BF0AAD"/>
    <w:rsid w:val="00BF27C9"/>
    <w:rsid w:val="00BF31C8"/>
    <w:rsid w:val="00BF32B8"/>
    <w:rsid w:val="00BF3FCF"/>
    <w:rsid w:val="00BF68E1"/>
    <w:rsid w:val="00C008B3"/>
    <w:rsid w:val="00C02A95"/>
    <w:rsid w:val="00C02D9E"/>
    <w:rsid w:val="00C0372D"/>
    <w:rsid w:val="00C03A91"/>
    <w:rsid w:val="00C04788"/>
    <w:rsid w:val="00C04E4C"/>
    <w:rsid w:val="00C0575C"/>
    <w:rsid w:val="00C065D6"/>
    <w:rsid w:val="00C06FFD"/>
    <w:rsid w:val="00C0752E"/>
    <w:rsid w:val="00C109C5"/>
    <w:rsid w:val="00C116BF"/>
    <w:rsid w:val="00C11A02"/>
    <w:rsid w:val="00C1220D"/>
    <w:rsid w:val="00C12E6F"/>
    <w:rsid w:val="00C1510A"/>
    <w:rsid w:val="00C153F9"/>
    <w:rsid w:val="00C1566F"/>
    <w:rsid w:val="00C156FE"/>
    <w:rsid w:val="00C15C9A"/>
    <w:rsid w:val="00C1629B"/>
    <w:rsid w:val="00C168CA"/>
    <w:rsid w:val="00C17DA0"/>
    <w:rsid w:val="00C20FE4"/>
    <w:rsid w:val="00C215F0"/>
    <w:rsid w:val="00C2312B"/>
    <w:rsid w:val="00C23CF5"/>
    <w:rsid w:val="00C23E44"/>
    <w:rsid w:val="00C23F27"/>
    <w:rsid w:val="00C249E5"/>
    <w:rsid w:val="00C2514D"/>
    <w:rsid w:val="00C259E5"/>
    <w:rsid w:val="00C25BDB"/>
    <w:rsid w:val="00C26BD3"/>
    <w:rsid w:val="00C26FB3"/>
    <w:rsid w:val="00C27B9E"/>
    <w:rsid w:val="00C27DC6"/>
    <w:rsid w:val="00C31004"/>
    <w:rsid w:val="00C311EC"/>
    <w:rsid w:val="00C33348"/>
    <w:rsid w:val="00C342FD"/>
    <w:rsid w:val="00C346CE"/>
    <w:rsid w:val="00C349AF"/>
    <w:rsid w:val="00C3515B"/>
    <w:rsid w:val="00C368D3"/>
    <w:rsid w:val="00C37592"/>
    <w:rsid w:val="00C376A7"/>
    <w:rsid w:val="00C377D6"/>
    <w:rsid w:val="00C3799A"/>
    <w:rsid w:val="00C4066B"/>
    <w:rsid w:val="00C40B6A"/>
    <w:rsid w:val="00C41584"/>
    <w:rsid w:val="00C41892"/>
    <w:rsid w:val="00C41D9C"/>
    <w:rsid w:val="00C420BA"/>
    <w:rsid w:val="00C4220E"/>
    <w:rsid w:val="00C42AF8"/>
    <w:rsid w:val="00C437C3"/>
    <w:rsid w:val="00C4389F"/>
    <w:rsid w:val="00C44552"/>
    <w:rsid w:val="00C4476A"/>
    <w:rsid w:val="00C44D9C"/>
    <w:rsid w:val="00C45551"/>
    <w:rsid w:val="00C46987"/>
    <w:rsid w:val="00C46A32"/>
    <w:rsid w:val="00C509DE"/>
    <w:rsid w:val="00C516C8"/>
    <w:rsid w:val="00C51915"/>
    <w:rsid w:val="00C51F77"/>
    <w:rsid w:val="00C52135"/>
    <w:rsid w:val="00C52334"/>
    <w:rsid w:val="00C524B5"/>
    <w:rsid w:val="00C52DF7"/>
    <w:rsid w:val="00C541FD"/>
    <w:rsid w:val="00C542C5"/>
    <w:rsid w:val="00C55D57"/>
    <w:rsid w:val="00C569CE"/>
    <w:rsid w:val="00C56DC2"/>
    <w:rsid w:val="00C60466"/>
    <w:rsid w:val="00C609EC"/>
    <w:rsid w:val="00C62199"/>
    <w:rsid w:val="00C6619C"/>
    <w:rsid w:val="00C662D2"/>
    <w:rsid w:val="00C66427"/>
    <w:rsid w:val="00C678E4"/>
    <w:rsid w:val="00C70E99"/>
    <w:rsid w:val="00C70F84"/>
    <w:rsid w:val="00C716A2"/>
    <w:rsid w:val="00C7199A"/>
    <w:rsid w:val="00C7211A"/>
    <w:rsid w:val="00C72206"/>
    <w:rsid w:val="00C726C8"/>
    <w:rsid w:val="00C736AD"/>
    <w:rsid w:val="00C74457"/>
    <w:rsid w:val="00C74861"/>
    <w:rsid w:val="00C7568F"/>
    <w:rsid w:val="00C80742"/>
    <w:rsid w:val="00C80C6E"/>
    <w:rsid w:val="00C80D17"/>
    <w:rsid w:val="00C80DB8"/>
    <w:rsid w:val="00C81B8D"/>
    <w:rsid w:val="00C81F91"/>
    <w:rsid w:val="00C82204"/>
    <w:rsid w:val="00C822E3"/>
    <w:rsid w:val="00C826CD"/>
    <w:rsid w:val="00C82883"/>
    <w:rsid w:val="00C83E50"/>
    <w:rsid w:val="00C840A7"/>
    <w:rsid w:val="00C8461C"/>
    <w:rsid w:val="00C8530B"/>
    <w:rsid w:val="00C8534D"/>
    <w:rsid w:val="00C85E88"/>
    <w:rsid w:val="00C86678"/>
    <w:rsid w:val="00C867AC"/>
    <w:rsid w:val="00C876C6"/>
    <w:rsid w:val="00C917D9"/>
    <w:rsid w:val="00C928D7"/>
    <w:rsid w:val="00C932F8"/>
    <w:rsid w:val="00C94163"/>
    <w:rsid w:val="00C9522F"/>
    <w:rsid w:val="00C9638E"/>
    <w:rsid w:val="00C96F56"/>
    <w:rsid w:val="00C97BA9"/>
    <w:rsid w:val="00CA13B4"/>
    <w:rsid w:val="00CA144F"/>
    <w:rsid w:val="00CA23F8"/>
    <w:rsid w:val="00CA3488"/>
    <w:rsid w:val="00CA53F6"/>
    <w:rsid w:val="00CA687A"/>
    <w:rsid w:val="00CA6D9F"/>
    <w:rsid w:val="00CA70D8"/>
    <w:rsid w:val="00CA7C5D"/>
    <w:rsid w:val="00CB0BBE"/>
    <w:rsid w:val="00CB16AC"/>
    <w:rsid w:val="00CB21B4"/>
    <w:rsid w:val="00CB2CD1"/>
    <w:rsid w:val="00CB3DB5"/>
    <w:rsid w:val="00CB46F0"/>
    <w:rsid w:val="00CB48A0"/>
    <w:rsid w:val="00CB5237"/>
    <w:rsid w:val="00CB55F8"/>
    <w:rsid w:val="00CB5D87"/>
    <w:rsid w:val="00CB6C75"/>
    <w:rsid w:val="00CC04C0"/>
    <w:rsid w:val="00CC3DF5"/>
    <w:rsid w:val="00CC428F"/>
    <w:rsid w:val="00CC6D24"/>
    <w:rsid w:val="00CD01A0"/>
    <w:rsid w:val="00CD0455"/>
    <w:rsid w:val="00CD0565"/>
    <w:rsid w:val="00CD0C46"/>
    <w:rsid w:val="00CD23DC"/>
    <w:rsid w:val="00CD27ED"/>
    <w:rsid w:val="00CD3888"/>
    <w:rsid w:val="00CD3F9E"/>
    <w:rsid w:val="00CD4635"/>
    <w:rsid w:val="00CD4F8C"/>
    <w:rsid w:val="00CD5309"/>
    <w:rsid w:val="00CD67D9"/>
    <w:rsid w:val="00CD72E9"/>
    <w:rsid w:val="00CD7862"/>
    <w:rsid w:val="00CD7BF7"/>
    <w:rsid w:val="00CE28E6"/>
    <w:rsid w:val="00CE2A74"/>
    <w:rsid w:val="00CE31F9"/>
    <w:rsid w:val="00CE3F46"/>
    <w:rsid w:val="00CE5157"/>
    <w:rsid w:val="00CF0640"/>
    <w:rsid w:val="00CF1BDB"/>
    <w:rsid w:val="00CF2E73"/>
    <w:rsid w:val="00CF50EF"/>
    <w:rsid w:val="00CF79AB"/>
    <w:rsid w:val="00D029FD"/>
    <w:rsid w:val="00D02D21"/>
    <w:rsid w:val="00D0560B"/>
    <w:rsid w:val="00D059A4"/>
    <w:rsid w:val="00D0652E"/>
    <w:rsid w:val="00D06728"/>
    <w:rsid w:val="00D10AFC"/>
    <w:rsid w:val="00D10EDE"/>
    <w:rsid w:val="00D12046"/>
    <w:rsid w:val="00D1219C"/>
    <w:rsid w:val="00D12B1D"/>
    <w:rsid w:val="00D1444E"/>
    <w:rsid w:val="00D14D80"/>
    <w:rsid w:val="00D15D4C"/>
    <w:rsid w:val="00D15DF2"/>
    <w:rsid w:val="00D15F41"/>
    <w:rsid w:val="00D1786F"/>
    <w:rsid w:val="00D20B19"/>
    <w:rsid w:val="00D2133C"/>
    <w:rsid w:val="00D22809"/>
    <w:rsid w:val="00D23706"/>
    <w:rsid w:val="00D23AA9"/>
    <w:rsid w:val="00D23BD3"/>
    <w:rsid w:val="00D23DB8"/>
    <w:rsid w:val="00D24FF7"/>
    <w:rsid w:val="00D25024"/>
    <w:rsid w:val="00D25FED"/>
    <w:rsid w:val="00D2772B"/>
    <w:rsid w:val="00D30C25"/>
    <w:rsid w:val="00D32594"/>
    <w:rsid w:val="00D338FB"/>
    <w:rsid w:val="00D3448B"/>
    <w:rsid w:val="00D34786"/>
    <w:rsid w:val="00D362EF"/>
    <w:rsid w:val="00D36837"/>
    <w:rsid w:val="00D36970"/>
    <w:rsid w:val="00D3734B"/>
    <w:rsid w:val="00D375D2"/>
    <w:rsid w:val="00D37862"/>
    <w:rsid w:val="00D378D3"/>
    <w:rsid w:val="00D40B76"/>
    <w:rsid w:val="00D40D38"/>
    <w:rsid w:val="00D429D0"/>
    <w:rsid w:val="00D42B4F"/>
    <w:rsid w:val="00D51C46"/>
    <w:rsid w:val="00D52A81"/>
    <w:rsid w:val="00D5300C"/>
    <w:rsid w:val="00D53244"/>
    <w:rsid w:val="00D54B68"/>
    <w:rsid w:val="00D54C52"/>
    <w:rsid w:val="00D54D47"/>
    <w:rsid w:val="00D55FCF"/>
    <w:rsid w:val="00D56D33"/>
    <w:rsid w:val="00D57607"/>
    <w:rsid w:val="00D60247"/>
    <w:rsid w:val="00D607C5"/>
    <w:rsid w:val="00D61190"/>
    <w:rsid w:val="00D62ABA"/>
    <w:rsid w:val="00D6401D"/>
    <w:rsid w:val="00D65603"/>
    <w:rsid w:val="00D66622"/>
    <w:rsid w:val="00D67106"/>
    <w:rsid w:val="00D67328"/>
    <w:rsid w:val="00D673DB"/>
    <w:rsid w:val="00D67E69"/>
    <w:rsid w:val="00D70941"/>
    <w:rsid w:val="00D7164E"/>
    <w:rsid w:val="00D726D0"/>
    <w:rsid w:val="00D72AE7"/>
    <w:rsid w:val="00D733E8"/>
    <w:rsid w:val="00D7383E"/>
    <w:rsid w:val="00D7403A"/>
    <w:rsid w:val="00D747D3"/>
    <w:rsid w:val="00D748B6"/>
    <w:rsid w:val="00D74910"/>
    <w:rsid w:val="00D75A11"/>
    <w:rsid w:val="00D75B4A"/>
    <w:rsid w:val="00D76B7E"/>
    <w:rsid w:val="00D802F3"/>
    <w:rsid w:val="00D80400"/>
    <w:rsid w:val="00D80790"/>
    <w:rsid w:val="00D81908"/>
    <w:rsid w:val="00D82323"/>
    <w:rsid w:val="00D8270B"/>
    <w:rsid w:val="00D83AD7"/>
    <w:rsid w:val="00D83B97"/>
    <w:rsid w:val="00D85681"/>
    <w:rsid w:val="00D86553"/>
    <w:rsid w:val="00D86DC5"/>
    <w:rsid w:val="00D86F83"/>
    <w:rsid w:val="00D87408"/>
    <w:rsid w:val="00D901A7"/>
    <w:rsid w:val="00D9021E"/>
    <w:rsid w:val="00D90382"/>
    <w:rsid w:val="00D90F97"/>
    <w:rsid w:val="00D911D0"/>
    <w:rsid w:val="00D938BC"/>
    <w:rsid w:val="00D9429F"/>
    <w:rsid w:val="00D9503D"/>
    <w:rsid w:val="00D965F6"/>
    <w:rsid w:val="00DA0718"/>
    <w:rsid w:val="00DA1540"/>
    <w:rsid w:val="00DA1EA6"/>
    <w:rsid w:val="00DA1EAF"/>
    <w:rsid w:val="00DA26E4"/>
    <w:rsid w:val="00DA52AF"/>
    <w:rsid w:val="00DA65A1"/>
    <w:rsid w:val="00DA6FB7"/>
    <w:rsid w:val="00DA7613"/>
    <w:rsid w:val="00DA7DC9"/>
    <w:rsid w:val="00DA7DD9"/>
    <w:rsid w:val="00DB02E5"/>
    <w:rsid w:val="00DB1E65"/>
    <w:rsid w:val="00DB1F4C"/>
    <w:rsid w:val="00DB23D4"/>
    <w:rsid w:val="00DB33DB"/>
    <w:rsid w:val="00DB400F"/>
    <w:rsid w:val="00DB5344"/>
    <w:rsid w:val="00DB71D5"/>
    <w:rsid w:val="00DC2872"/>
    <w:rsid w:val="00DC2C00"/>
    <w:rsid w:val="00DC3F45"/>
    <w:rsid w:val="00DC6B7B"/>
    <w:rsid w:val="00DD17D1"/>
    <w:rsid w:val="00DD19E3"/>
    <w:rsid w:val="00DD1A5C"/>
    <w:rsid w:val="00DD1BAD"/>
    <w:rsid w:val="00DD231D"/>
    <w:rsid w:val="00DD28C2"/>
    <w:rsid w:val="00DD3217"/>
    <w:rsid w:val="00DD5A41"/>
    <w:rsid w:val="00DD5C2A"/>
    <w:rsid w:val="00DD5CCD"/>
    <w:rsid w:val="00DD6E32"/>
    <w:rsid w:val="00DE0C72"/>
    <w:rsid w:val="00DE205A"/>
    <w:rsid w:val="00DE26D4"/>
    <w:rsid w:val="00DE2781"/>
    <w:rsid w:val="00DE2E85"/>
    <w:rsid w:val="00DE3339"/>
    <w:rsid w:val="00DE47E8"/>
    <w:rsid w:val="00DE552F"/>
    <w:rsid w:val="00DE7A1E"/>
    <w:rsid w:val="00DF1597"/>
    <w:rsid w:val="00DF18BD"/>
    <w:rsid w:val="00DF1CA1"/>
    <w:rsid w:val="00DF1CB7"/>
    <w:rsid w:val="00DF23EC"/>
    <w:rsid w:val="00DF2DC6"/>
    <w:rsid w:val="00DF4399"/>
    <w:rsid w:val="00DF54F2"/>
    <w:rsid w:val="00DF5A44"/>
    <w:rsid w:val="00DF5E77"/>
    <w:rsid w:val="00DF5EF9"/>
    <w:rsid w:val="00DF6FE3"/>
    <w:rsid w:val="00E00842"/>
    <w:rsid w:val="00E00980"/>
    <w:rsid w:val="00E04D6F"/>
    <w:rsid w:val="00E05C8A"/>
    <w:rsid w:val="00E06696"/>
    <w:rsid w:val="00E0736E"/>
    <w:rsid w:val="00E07931"/>
    <w:rsid w:val="00E07A6D"/>
    <w:rsid w:val="00E122F0"/>
    <w:rsid w:val="00E1254A"/>
    <w:rsid w:val="00E12596"/>
    <w:rsid w:val="00E13171"/>
    <w:rsid w:val="00E1319C"/>
    <w:rsid w:val="00E13625"/>
    <w:rsid w:val="00E14093"/>
    <w:rsid w:val="00E169CF"/>
    <w:rsid w:val="00E16A3F"/>
    <w:rsid w:val="00E2138E"/>
    <w:rsid w:val="00E2173A"/>
    <w:rsid w:val="00E2419B"/>
    <w:rsid w:val="00E24608"/>
    <w:rsid w:val="00E253F2"/>
    <w:rsid w:val="00E25C47"/>
    <w:rsid w:val="00E25FEC"/>
    <w:rsid w:val="00E26AC4"/>
    <w:rsid w:val="00E30688"/>
    <w:rsid w:val="00E3097D"/>
    <w:rsid w:val="00E30F2E"/>
    <w:rsid w:val="00E3316D"/>
    <w:rsid w:val="00E3580C"/>
    <w:rsid w:val="00E35873"/>
    <w:rsid w:val="00E36CAF"/>
    <w:rsid w:val="00E405DA"/>
    <w:rsid w:val="00E413F1"/>
    <w:rsid w:val="00E44290"/>
    <w:rsid w:val="00E4511B"/>
    <w:rsid w:val="00E45EE7"/>
    <w:rsid w:val="00E45FBD"/>
    <w:rsid w:val="00E47F59"/>
    <w:rsid w:val="00E5006B"/>
    <w:rsid w:val="00E5131C"/>
    <w:rsid w:val="00E51E83"/>
    <w:rsid w:val="00E53291"/>
    <w:rsid w:val="00E54FCC"/>
    <w:rsid w:val="00E55251"/>
    <w:rsid w:val="00E5528B"/>
    <w:rsid w:val="00E557CF"/>
    <w:rsid w:val="00E55DA3"/>
    <w:rsid w:val="00E568B5"/>
    <w:rsid w:val="00E608D1"/>
    <w:rsid w:val="00E613F5"/>
    <w:rsid w:val="00E62C85"/>
    <w:rsid w:val="00E62D43"/>
    <w:rsid w:val="00E63DCF"/>
    <w:rsid w:val="00E6401B"/>
    <w:rsid w:val="00E6638B"/>
    <w:rsid w:val="00E70D3F"/>
    <w:rsid w:val="00E71C6E"/>
    <w:rsid w:val="00E73453"/>
    <w:rsid w:val="00E7358B"/>
    <w:rsid w:val="00E73C21"/>
    <w:rsid w:val="00E757E4"/>
    <w:rsid w:val="00E76046"/>
    <w:rsid w:val="00E775C9"/>
    <w:rsid w:val="00E80F85"/>
    <w:rsid w:val="00E83A59"/>
    <w:rsid w:val="00E83D37"/>
    <w:rsid w:val="00E854F4"/>
    <w:rsid w:val="00E85666"/>
    <w:rsid w:val="00E85DD2"/>
    <w:rsid w:val="00E860DC"/>
    <w:rsid w:val="00E86305"/>
    <w:rsid w:val="00E916A8"/>
    <w:rsid w:val="00E9187D"/>
    <w:rsid w:val="00E922E7"/>
    <w:rsid w:val="00E92FF2"/>
    <w:rsid w:val="00E9403E"/>
    <w:rsid w:val="00E946A5"/>
    <w:rsid w:val="00E9538E"/>
    <w:rsid w:val="00E9620C"/>
    <w:rsid w:val="00E964BF"/>
    <w:rsid w:val="00E9726B"/>
    <w:rsid w:val="00EA0B22"/>
    <w:rsid w:val="00EA1613"/>
    <w:rsid w:val="00EA171D"/>
    <w:rsid w:val="00EA1A5C"/>
    <w:rsid w:val="00EA2350"/>
    <w:rsid w:val="00EA3604"/>
    <w:rsid w:val="00EA45FB"/>
    <w:rsid w:val="00EA4744"/>
    <w:rsid w:val="00EA4819"/>
    <w:rsid w:val="00EA48B8"/>
    <w:rsid w:val="00EA5138"/>
    <w:rsid w:val="00EA57A1"/>
    <w:rsid w:val="00EA645A"/>
    <w:rsid w:val="00EB0AEF"/>
    <w:rsid w:val="00EB0B2F"/>
    <w:rsid w:val="00EB0E74"/>
    <w:rsid w:val="00EB1449"/>
    <w:rsid w:val="00EB1ADB"/>
    <w:rsid w:val="00EB1AF7"/>
    <w:rsid w:val="00EB3508"/>
    <w:rsid w:val="00EB4352"/>
    <w:rsid w:val="00EB574A"/>
    <w:rsid w:val="00EB58CA"/>
    <w:rsid w:val="00EB708F"/>
    <w:rsid w:val="00EB7111"/>
    <w:rsid w:val="00EB7D66"/>
    <w:rsid w:val="00EC05EC"/>
    <w:rsid w:val="00EC0E34"/>
    <w:rsid w:val="00EC305D"/>
    <w:rsid w:val="00EC39CB"/>
    <w:rsid w:val="00EC3E7E"/>
    <w:rsid w:val="00EC4239"/>
    <w:rsid w:val="00EC566A"/>
    <w:rsid w:val="00EC5908"/>
    <w:rsid w:val="00EC732C"/>
    <w:rsid w:val="00EC7A5A"/>
    <w:rsid w:val="00ED0893"/>
    <w:rsid w:val="00ED08EE"/>
    <w:rsid w:val="00ED40D8"/>
    <w:rsid w:val="00ED4D9F"/>
    <w:rsid w:val="00ED5191"/>
    <w:rsid w:val="00ED5E80"/>
    <w:rsid w:val="00ED7B25"/>
    <w:rsid w:val="00EE0DB8"/>
    <w:rsid w:val="00EE173A"/>
    <w:rsid w:val="00EE1B48"/>
    <w:rsid w:val="00EE3098"/>
    <w:rsid w:val="00EE31A5"/>
    <w:rsid w:val="00EE4126"/>
    <w:rsid w:val="00EE4833"/>
    <w:rsid w:val="00EE48B9"/>
    <w:rsid w:val="00EE4B97"/>
    <w:rsid w:val="00EE50FE"/>
    <w:rsid w:val="00EE57F0"/>
    <w:rsid w:val="00EE65F0"/>
    <w:rsid w:val="00EE6BFF"/>
    <w:rsid w:val="00EE736C"/>
    <w:rsid w:val="00EE7655"/>
    <w:rsid w:val="00EF0355"/>
    <w:rsid w:val="00EF117C"/>
    <w:rsid w:val="00EF139A"/>
    <w:rsid w:val="00EF3BBB"/>
    <w:rsid w:val="00EF401D"/>
    <w:rsid w:val="00EF418B"/>
    <w:rsid w:val="00EF4648"/>
    <w:rsid w:val="00EF46F3"/>
    <w:rsid w:val="00EF6FD0"/>
    <w:rsid w:val="00EF7D5A"/>
    <w:rsid w:val="00F000E9"/>
    <w:rsid w:val="00F0061F"/>
    <w:rsid w:val="00F00FD4"/>
    <w:rsid w:val="00F02473"/>
    <w:rsid w:val="00F02A61"/>
    <w:rsid w:val="00F05FF1"/>
    <w:rsid w:val="00F11283"/>
    <w:rsid w:val="00F13DF9"/>
    <w:rsid w:val="00F14204"/>
    <w:rsid w:val="00F15ACC"/>
    <w:rsid w:val="00F1615A"/>
    <w:rsid w:val="00F207D0"/>
    <w:rsid w:val="00F21203"/>
    <w:rsid w:val="00F241AD"/>
    <w:rsid w:val="00F24318"/>
    <w:rsid w:val="00F2446D"/>
    <w:rsid w:val="00F24CE4"/>
    <w:rsid w:val="00F26FEE"/>
    <w:rsid w:val="00F271FA"/>
    <w:rsid w:val="00F27ABC"/>
    <w:rsid w:val="00F301DF"/>
    <w:rsid w:val="00F30D19"/>
    <w:rsid w:val="00F31019"/>
    <w:rsid w:val="00F310BC"/>
    <w:rsid w:val="00F3147B"/>
    <w:rsid w:val="00F31C6C"/>
    <w:rsid w:val="00F32356"/>
    <w:rsid w:val="00F32451"/>
    <w:rsid w:val="00F376CE"/>
    <w:rsid w:val="00F405B9"/>
    <w:rsid w:val="00F40B00"/>
    <w:rsid w:val="00F4164E"/>
    <w:rsid w:val="00F41D2F"/>
    <w:rsid w:val="00F42883"/>
    <w:rsid w:val="00F43393"/>
    <w:rsid w:val="00F43D86"/>
    <w:rsid w:val="00F44727"/>
    <w:rsid w:val="00F45318"/>
    <w:rsid w:val="00F50665"/>
    <w:rsid w:val="00F50CED"/>
    <w:rsid w:val="00F53091"/>
    <w:rsid w:val="00F533E4"/>
    <w:rsid w:val="00F557DE"/>
    <w:rsid w:val="00F55DD4"/>
    <w:rsid w:val="00F5746A"/>
    <w:rsid w:val="00F57879"/>
    <w:rsid w:val="00F57D16"/>
    <w:rsid w:val="00F61D36"/>
    <w:rsid w:val="00F622F6"/>
    <w:rsid w:val="00F662DC"/>
    <w:rsid w:val="00F67A8B"/>
    <w:rsid w:val="00F70563"/>
    <w:rsid w:val="00F70D38"/>
    <w:rsid w:val="00F71487"/>
    <w:rsid w:val="00F71D56"/>
    <w:rsid w:val="00F722E6"/>
    <w:rsid w:val="00F72376"/>
    <w:rsid w:val="00F72C2D"/>
    <w:rsid w:val="00F7372F"/>
    <w:rsid w:val="00F7412C"/>
    <w:rsid w:val="00F7499B"/>
    <w:rsid w:val="00F749EA"/>
    <w:rsid w:val="00F76735"/>
    <w:rsid w:val="00F77F7E"/>
    <w:rsid w:val="00F80B34"/>
    <w:rsid w:val="00F826C6"/>
    <w:rsid w:val="00F82EBF"/>
    <w:rsid w:val="00F830E9"/>
    <w:rsid w:val="00F8342B"/>
    <w:rsid w:val="00F87147"/>
    <w:rsid w:val="00F874D6"/>
    <w:rsid w:val="00F90052"/>
    <w:rsid w:val="00F900BE"/>
    <w:rsid w:val="00F90628"/>
    <w:rsid w:val="00F90C2C"/>
    <w:rsid w:val="00F91026"/>
    <w:rsid w:val="00F917A6"/>
    <w:rsid w:val="00F92321"/>
    <w:rsid w:val="00F929BB"/>
    <w:rsid w:val="00F931FF"/>
    <w:rsid w:val="00F94BB5"/>
    <w:rsid w:val="00F950DC"/>
    <w:rsid w:val="00FA1793"/>
    <w:rsid w:val="00FA224E"/>
    <w:rsid w:val="00FA250A"/>
    <w:rsid w:val="00FA429F"/>
    <w:rsid w:val="00FA57E6"/>
    <w:rsid w:val="00FA6032"/>
    <w:rsid w:val="00FA647D"/>
    <w:rsid w:val="00FA6E82"/>
    <w:rsid w:val="00FA7E92"/>
    <w:rsid w:val="00FB0751"/>
    <w:rsid w:val="00FB16E0"/>
    <w:rsid w:val="00FB1895"/>
    <w:rsid w:val="00FB193F"/>
    <w:rsid w:val="00FB34EC"/>
    <w:rsid w:val="00FB37F9"/>
    <w:rsid w:val="00FB5E56"/>
    <w:rsid w:val="00FB7417"/>
    <w:rsid w:val="00FB750B"/>
    <w:rsid w:val="00FB79A8"/>
    <w:rsid w:val="00FB7ABB"/>
    <w:rsid w:val="00FB7FB2"/>
    <w:rsid w:val="00FC02CD"/>
    <w:rsid w:val="00FC0DA8"/>
    <w:rsid w:val="00FC3491"/>
    <w:rsid w:val="00FC3C17"/>
    <w:rsid w:val="00FC3F07"/>
    <w:rsid w:val="00FC4188"/>
    <w:rsid w:val="00FC6C53"/>
    <w:rsid w:val="00FD08F4"/>
    <w:rsid w:val="00FD0A60"/>
    <w:rsid w:val="00FD1271"/>
    <w:rsid w:val="00FD2EB6"/>
    <w:rsid w:val="00FD40AA"/>
    <w:rsid w:val="00FD45F6"/>
    <w:rsid w:val="00FD538C"/>
    <w:rsid w:val="00FD5872"/>
    <w:rsid w:val="00FD64EE"/>
    <w:rsid w:val="00FD7B4C"/>
    <w:rsid w:val="00FE2604"/>
    <w:rsid w:val="00FE2D7B"/>
    <w:rsid w:val="00FE3281"/>
    <w:rsid w:val="00FE4232"/>
    <w:rsid w:val="00FE4854"/>
    <w:rsid w:val="00FE5056"/>
    <w:rsid w:val="00FE5FDC"/>
    <w:rsid w:val="00FE791D"/>
    <w:rsid w:val="00FF02E3"/>
    <w:rsid w:val="00FF0A3C"/>
    <w:rsid w:val="00FF12E4"/>
    <w:rsid w:val="00FF1BFF"/>
    <w:rsid w:val="00FF1E78"/>
    <w:rsid w:val="00FF464C"/>
    <w:rsid w:val="00FF58E0"/>
    <w:rsid w:val="00FF7390"/>
    <w:rsid w:val="00FF76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7AD7BC8"/>
  <w15:docId w15:val="{84CC93C4-0631-416B-8789-C70845F64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B5E59"/>
  </w:style>
  <w:style w:type="paragraph" w:styleId="Titolo1">
    <w:name w:val="heading 1"/>
    <w:basedOn w:val="Normale"/>
    <w:next w:val="Normale"/>
    <w:link w:val="Titolo1Carattere"/>
    <w:uiPriority w:val="9"/>
    <w:qFormat/>
    <w:rsid w:val="000D04E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semiHidden/>
    <w:unhideWhenUsed/>
    <w:qFormat/>
    <w:rsid w:val="00533A1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533A1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762073"/>
    <w:pPr>
      <w:keepNext/>
      <w:keepLines/>
      <w:spacing w:before="40" w:after="0"/>
      <w:outlineLvl w:val="3"/>
    </w:pPr>
    <w:rPr>
      <w:rFonts w:ascii="Calibri Light" w:eastAsia="Times New Roman" w:hAnsi="Calibri Light" w:cs="Times New Roman"/>
      <w:b/>
      <w:bCs/>
      <w:i/>
      <w:iCs/>
      <w:color w:val="5B9BD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link w:val="ParagrafoelencoCarattere"/>
    <w:uiPriority w:val="34"/>
    <w:qFormat/>
    <w:rsid w:val="00FB34EC"/>
    <w:pPr>
      <w:ind w:left="720"/>
      <w:contextualSpacing/>
    </w:pPr>
  </w:style>
  <w:style w:type="paragraph" w:styleId="Intestazione">
    <w:name w:val="header"/>
    <w:basedOn w:val="Normale"/>
    <w:link w:val="IntestazioneCarattere"/>
    <w:uiPriority w:val="99"/>
    <w:unhideWhenUsed/>
    <w:rsid w:val="0072477E"/>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72477E"/>
  </w:style>
  <w:style w:type="paragraph" w:styleId="Pidipagina">
    <w:name w:val="footer"/>
    <w:basedOn w:val="Normale"/>
    <w:link w:val="PidipaginaCarattere"/>
    <w:uiPriority w:val="99"/>
    <w:unhideWhenUsed/>
    <w:rsid w:val="0072477E"/>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72477E"/>
  </w:style>
  <w:style w:type="paragraph" w:styleId="PreformattatoHTML">
    <w:name w:val="HTML Preformatted"/>
    <w:basedOn w:val="Normale"/>
    <w:link w:val="PreformattatoHTMLCarattere"/>
    <w:uiPriority w:val="99"/>
    <w:unhideWhenUsed/>
    <w:rsid w:val="00891C36"/>
    <w:pPr>
      <w:spacing w:after="0"/>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891C36"/>
    <w:rPr>
      <w:rFonts w:ascii="Consolas" w:hAnsi="Consolas"/>
      <w:sz w:val="20"/>
      <w:szCs w:val="20"/>
    </w:rPr>
  </w:style>
  <w:style w:type="paragraph" w:customStyle="1" w:styleId="Default">
    <w:name w:val="Default"/>
    <w:rsid w:val="006B79BA"/>
    <w:pPr>
      <w:autoSpaceDE w:val="0"/>
      <w:autoSpaceDN w:val="0"/>
      <w:adjustRightInd w:val="0"/>
      <w:spacing w:after="0"/>
    </w:pPr>
    <w:rPr>
      <w:rFonts w:ascii="Garamond" w:hAnsi="Garamond" w:cs="Garamond"/>
      <w:color w:val="000000"/>
      <w:sz w:val="24"/>
      <w:szCs w:val="24"/>
    </w:rPr>
  </w:style>
  <w:style w:type="table" w:customStyle="1" w:styleId="TableGrid">
    <w:name w:val="TableGrid"/>
    <w:rsid w:val="0074017A"/>
    <w:pPr>
      <w:spacing w:after="0"/>
    </w:pPr>
    <w:rPr>
      <w:rFonts w:eastAsiaTheme="minorEastAsia"/>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AC2049"/>
    <w:rPr>
      <w:color w:val="0000FF" w:themeColor="hyperlink"/>
      <w:u w:val="single"/>
    </w:rPr>
  </w:style>
  <w:style w:type="character" w:customStyle="1" w:styleId="Menzionenonrisolta1">
    <w:name w:val="Menzione non risolta1"/>
    <w:basedOn w:val="Carpredefinitoparagrafo"/>
    <w:uiPriority w:val="99"/>
    <w:semiHidden/>
    <w:unhideWhenUsed/>
    <w:rsid w:val="001C3788"/>
    <w:rPr>
      <w:color w:val="605E5C"/>
      <w:shd w:val="clear" w:color="auto" w:fill="E1DFDD"/>
    </w:rPr>
  </w:style>
  <w:style w:type="character" w:customStyle="1" w:styleId="Titolo1Carattere">
    <w:name w:val="Titolo 1 Carattere"/>
    <w:basedOn w:val="Carpredefinitoparagrafo"/>
    <w:link w:val="Titolo1"/>
    <w:uiPriority w:val="9"/>
    <w:rsid w:val="000D04EF"/>
    <w:rPr>
      <w:rFonts w:asciiTheme="majorHAnsi" w:eastAsiaTheme="majorEastAsia" w:hAnsiTheme="majorHAnsi" w:cstheme="majorBidi"/>
      <w:color w:val="365F91" w:themeColor="accent1" w:themeShade="BF"/>
      <w:sz w:val="32"/>
      <w:szCs w:val="32"/>
    </w:rPr>
  </w:style>
  <w:style w:type="paragraph" w:styleId="Titolosommario">
    <w:name w:val="TOC Heading"/>
    <w:basedOn w:val="Titolo1"/>
    <w:next w:val="Normale"/>
    <w:uiPriority w:val="39"/>
    <w:unhideWhenUsed/>
    <w:qFormat/>
    <w:rsid w:val="000D04EF"/>
    <w:pPr>
      <w:spacing w:line="259" w:lineRule="auto"/>
      <w:outlineLvl w:val="9"/>
    </w:pPr>
    <w:rPr>
      <w:lang w:eastAsia="it-IT"/>
    </w:rPr>
  </w:style>
  <w:style w:type="paragraph" w:styleId="Indice1">
    <w:name w:val="index 1"/>
    <w:basedOn w:val="Normale"/>
    <w:next w:val="Normale"/>
    <w:autoRedefine/>
    <w:uiPriority w:val="99"/>
    <w:semiHidden/>
    <w:unhideWhenUsed/>
    <w:rsid w:val="000D04EF"/>
    <w:pPr>
      <w:spacing w:after="0"/>
      <w:ind w:left="220" w:hanging="220"/>
    </w:pPr>
  </w:style>
  <w:style w:type="paragraph" w:styleId="Sommario1">
    <w:name w:val="toc 1"/>
    <w:basedOn w:val="Normale"/>
    <w:next w:val="Normale"/>
    <w:autoRedefine/>
    <w:uiPriority w:val="39"/>
    <w:unhideWhenUsed/>
    <w:rsid w:val="00BF32B8"/>
    <w:pPr>
      <w:tabs>
        <w:tab w:val="right" w:leader="dot" w:pos="9638"/>
      </w:tabs>
      <w:spacing w:after="100"/>
      <w:jc w:val="both"/>
    </w:pPr>
    <w:rPr>
      <w:rFonts w:ascii="Garamond" w:hAnsi="Garamond" w:cstheme="minorHAnsi"/>
      <w:iCs/>
      <w:noProof/>
      <w:sz w:val="24"/>
      <w:szCs w:val="24"/>
    </w:rPr>
  </w:style>
  <w:style w:type="character" w:customStyle="1" w:styleId="Titolo3Carattere">
    <w:name w:val="Titolo 3 Carattere"/>
    <w:basedOn w:val="Carpredefinitoparagrafo"/>
    <w:link w:val="Titolo3"/>
    <w:uiPriority w:val="9"/>
    <w:rsid w:val="00533A1D"/>
    <w:rPr>
      <w:rFonts w:asciiTheme="majorHAnsi" w:eastAsiaTheme="majorEastAsia" w:hAnsiTheme="majorHAnsi" w:cstheme="majorBidi"/>
      <w:color w:val="243F60" w:themeColor="accent1" w:themeShade="7F"/>
      <w:sz w:val="24"/>
      <w:szCs w:val="24"/>
    </w:rPr>
  </w:style>
  <w:style w:type="paragraph" w:styleId="Sommario2">
    <w:name w:val="toc 2"/>
    <w:basedOn w:val="Normale"/>
    <w:next w:val="Normale"/>
    <w:autoRedefine/>
    <w:uiPriority w:val="39"/>
    <w:unhideWhenUsed/>
    <w:rsid w:val="001F5930"/>
    <w:pPr>
      <w:tabs>
        <w:tab w:val="right" w:leader="dot" w:pos="9628"/>
      </w:tabs>
      <w:spacing w:after="100"/>
      <w:ind w:left="426"/>
    </w:pPr>
    <w:rPr>
      <w:rFonts w:ascii="Garamond" w:hAnsi="Garamond"/>
      <w:i/>
      <w:iCs/>
      <w:noProof/>
      <w:sz w:val="24"/>
      <w:szCs w:val="24"/>
    </w:rPr>
  </w:style>
  <w:style w:type="paragraph" w:styleId="Sommario3">
    <w:name w:val="toc 3"/>
    <w:basedOn w:val="Normale"/>
    <w:next w:val="Normale"/>
    <w:autoRedefine/>
    <w:uiPriority w:val="39"/>
    <w:unhideWhenUsed/>
    <w:rsid w:val="001F5930"/>
    <w:pPr>
      <w:tabs>
        <w:tab w:val="left" w:pos="1100"/>
        <w:tab w:val="right" w:leader="dot" w:pos="9628"/>
      </w:tabs>
      <w:spacing w:after="100"/>
      <w:ind w:left="426"/>
    </w:pPr>
    <w:rPr>
      <w:rFonts w:ascii="Garamond" w:hAnsi="Garamond"/>
      <w:i/>
      <w:iCs/>
      <w:noProof/>
      <w:sz w:val="24"/>
      <w:szCs w:val="24"/>
    </w:rPr>
  </w:style>
  <w:style w:type="character" w:customStyle="1" w:styleId="Titolo2Carattere">
    <w:name w:val="Titolo 2 Carattere"/>
    <w:basedOn w:val="Carpredefinitoparagrafo"/>
    <w:link w:val="Titolo2"/>
    <w:uiPriority w:val="9"/>
    <w:semiHidden/>
    <w:rsid w:val="00533A1D"/>
    <w:rPr>
      <w:rFonts w:asciiTheme="majorHAnsi" w:eastAsiaTheme="majorEastAsia" w:hAnsiTheme="majorHAnsi" w:cstheme="majorBidi"/>
      <w:color w:val="365F91" w:themeColor="accent1" w:themeShade="BF"/>
      <w:sz w:val="26"/>
      <w:szCs w:val="26"/>
    </w:rPr>
  </w:style>
  <w:style w:type="paragraph" w:customStyle="1" w:styleId="Titolo41">
    <w:name w:val="Titolo 41"/>
    <w:basedOn w:val="Normale"/>
    <w:next w:val="Normale"/>
    <w:uiPriority w:val="9"/>
    <w:semiHidden/>
    <w:unhideWhenUsed/>
    <w:rsid w:val="00762073"/>
    <w:pPr>
      <w:keepNext/>
      <w:keepLines/>
      <w:spacing w:before="200" w:after="0" w:line="259" w:lineRule="auto"/>
      <w:outlineLvl w:val="3"/>
    </w:pPr>
    <w:rPr>
      <w:rFonts w:ascii="Calibri Light" w:eastAsia="Times New Roman" w:hAnsi="Calibri Light" w:cs="Times New Roman"/>
      <w:b/>
      <w:bCs/>
      <w:i/>
      <w:iCs/>
      <w:color w:val="5B9BD5"/>
    </w:rPr>
  </w:style>
  <w:style w:type="numbering" w:customStyle="1" w:styleId="Nessunelenco1">
    <w:name w:val="Nessun elenco1"/>
    <w:next w:val="Nessunelenco"/>
    <w:uiPriority w:val="99"/>
    <w:semiHidden/>
    <w:unhideWhenUsed/>
    <w:rsid w:val="00762073"/>
  </w:style>
  <w:style w:type="character" w:customStyle="1" w:styleId="Titolo4Carattere">
    <w:name w:val="Titolo 4 Carattere"/>
    <w:basedOn w:val="Carpredefinitoparagrafo"/>
    <w:link w:val="Titolo4"/>
    <w:uiPriority w:val="9"/>
    <w:semiHidden/>
    <w:rsid w:val="00762073"/>
    <w:rPr>
      <w:rFonts w:ascii="Calibri Light" w:eastAsia="Times New Roman" w:hAnsi="Calibri Light" w:cs="Times New Roman"/>
      <w:b/>
      <w:bCs/>
      <w:i/>
      <w:iCs/>
      <w:color w:val="5B9BD5"/>
    </w:rPr>
  </w:style>
  <w:style w:type="table" w:customStyle="1" w:styleId="Grigliatabella1">
    <w:name w:val="Griglia tabella1"/>
    <w:basedOn w:val="Tabellanormale"/>
    <w:next w:val="Grigliatabella"/>
    <w:uiPriority w:val="39"/>
    <w:rsid w:val="0076207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fumetto1">
    <w:name w:val="Testo fumetto1"/>
    <w:basedOn w:val="Normale"/>
    <w:next w:val="Testofumetto"/>
    <w:link w:val="TestofumettoCarattere"/>
    <w:uiPriority w:val="99"/>
    <w:semiHidden/>
    <w:unhideWhenUsed/>
    <w:rsid w:val="00762073"/>
    <w:pPr>
      <w:spacing w:after="0"/>
    </w:pPr>
    <w:rPr>
      <w:rFonts w:ascii="Segoe UI" w:hAnsi="Segoe UI" w:cs="Segoe UI"/>
      <w:sz w:val="18"/>
      <w:szCs w:val="18"/>
    </w:rPr>
  </w:style>
  <w:style w:type="character" w:customStyle="1" w:styleId="TestofumettoCarattere">
    <w:name w:val="Testo fumetto Carattere"/>
    <w:basedOn w:val="Carpredefinitoparagrafo"/>
    <w:link w:val="Testofumetto1"/>
    <w:uiPriority w:val="99"/>
    <w:semiHidden/>
    <w:rsid w:val="00762073"/>
    <w:rPr>
      <w:rFonts w:ascii="Segoe UI" w:hAnsi="Segoe UI" w:cs="Segoe UI"/>
      <w:sz w:val="18"/>
      <w:szCs w:val="18"/>
    </w:rPr>
  </w:style>
  <w:style w:type="character" w:styleId="Enfasigrassetto">
    <w:name w:val="Strong"/>
    <w:basedOn w:val="Carpredefinitoparagrafo"/>
    <w:uiPriority w:val="22"/>
    <w:qFormat/>
    <w:rsid w:val="00762073"/>
    <w:rPr>
      <w:b/>
      <w:bCs/>
    </w:rPr>
  </w:style>
  <w:style w:type="paragraph" w:customStyle="1" w:styleId="provvr0">
    <w:name w:val="provv_r0"/>
    <w:basedOn w:val="Normale"/>
    <w:rsid w:val="00762073"/>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estremosel">
    <w:name w:val="estremosel"/>
    <w:basedOn w:val="Carpredefinitoparagrafo"/>
    <w:rsid w:val="00762073"/>
  </w:style>
  <w:style w:type="character" w:customStyle="1" w:styleId="nota1">
    <w:name w:val="nota1"/>
    <w:basedOn w:val="Carpredefinitoparagrafo"/>
    <w:rsid w:val="00762073"/>
  </w:style>
  <w:style w:type="paragraph" w:styleId="NormaleWeb">
    <w:name w:val="Normal (Web)"/>
    <w:basedOn w:val="Normale"/>
    <w:uiPriority w:val="99"/>
    <w:unhideWhenUsed/>
    <w:rsid w:val="00762073"/>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provvnumart">
    <w:name w:val="provv_numart"/>
    <w:basedOn w:val="Carpredefinitoparagrafo"/>
    <w:rsid w:val="00762073"/>
  </w:style>
  <w:style w:type="character" w:customStyle="1" w:styleId="provvrubrica">
    <w:name w:val="provv_rubrica"/>
    <w:basedOn w:val="Carpredefinitoparagrafo"/>
    <w:rsid w:val="00762073"/>
  </w:style>
  <w:style w:type="character" w:customStyle="1" w:styleId="provvnumcomma">
    <w:name w:val="provv_numcomma"/>
    <w:basedOn w:val="Carpredefinitoparagrafo"/>
    <w:rsid w:val="00762073"/>
  </w:style>
  <w:style w:type="character" w:customStyle="1" w:styleId="linkneltesto">
    <w:name w:val="link_nel_testo"/>
    <w:basedOn w:val="Carpredefinitoparagrafo"/>
    <w:rsid w:val="00762073"/>
  </w:style>
  <w:style w:type="paragraph" w:customStyle="1" w:styleId="Testocommento1">
    <w:name w:val="Testo commento1"/>
    <w:basedOn w:val="Normale"/>
    <w:next w:val="Testocommento"/>
    <w:link w:val="TestocommentoCarattere"/>
    <w:uiPriority w:val="99"/>
    <w:semiHidden/>
    <w:unhideWhenUsed/>
    <w:rsid w:val="00762073"/>
    <w:pPr>
      <w:spacing w:after="160"/>
    </w:pPr>
    <w:rPr>
      <w:sz w:val="20"/>
      <w:szCs w:val="20"/>
    </w:rPr>
  </w:style>
  <w:style w:type="character" w:customStyle="1" w:styleId="TestocommentoCarattere">
    <w:name w:val="Testo commento Carattere"/>
    <w:basedOn w:val="Carpredefinitoparagrafo"/>
    <w:link w:val="Testocommento1"/>
    <w:uiPriority w:val="99"/>
    <w:semiHidden/>
    <w:rsid w:val="00762073"/>
    <w:rPr>
      <w:sz w:val="20"/>
      <w:szCs w:val="20"/>
    </w:rPr>
  </w:style>
  <w:style w:type="paragraph" w:customStyle="1" w:styleId="Soggettocommento1">
    <w:name w:val="Soggetto commento1"/>
    <w:basedOn w:val="Testocommento"/>
    <w:next w:val="Testocommento"/>
    <w:uiPriority w:val="99"/>
    <w:semiHidden/>
    <w:unhideWhenUsed/>
    <w:rsid w:val="00762073"/>
    <w:pPr>
      <w:spacing w:after="160"/>
    </w:pPr>
    <w:rPr>
      <w:b/>
      <w:bCs/>
    </w:rPr>
  </w:style>
  <w:style w:type="character" w:customStyle="1" w:styleId="SoggettocommentoCarattere">
    <w:name w:val="Soggetto commento Carattere"/>
    <w:basedOn w:val="TestocommentoCarattere"/>
    <w:link w:val="Soggettocommento"/>
    <w:uiPriority w:val="99"/>
    <w:semiHidden/>
    <w:rsid w:val="00762073"/>
    <w:rPr>
      <w:b/>
      <w:bCs/>
      <w:sz w:val="20"/>
      <w:szCs w:val="20"/>
    </w:rPr>
  </w:style>
  <w:style w:type="paragraph" w:customStyle="1" w:styleId="SOTTOPARAGRAFO2">
    <w:name w:val="SOTTOPARAGRAFO 2"/>
    <w:basedOn w:val="Normale"/>
    <w:link w:val="SOTTOPARAGRAFO2Carattere"/>
    <w:qFormat/>
    <w:rsid w:val="00762073"/>
    <w:pPr>
      <w:spacing w:after="160" w:line="259" w:lineRule="auto"/>
      <w:jc w:val="both"/>
    </w:pPr>
    <w:rPr>
      <w:rFonts w:ascii="Times New Roman" w:hAnsi="Times New Roman" w:cs="Times New Roman"/>
      <w:b/>
      <w:i/>
      <w:sz w:val="24"/>
      <w:szCs w:val="24"/>
    </w:rPr>
  </w:style>
  <w:style w:type="paragraph" w:customStyle="1" w:styleId="Nessunaspaziatura1">
    <w:name w:val="Nessuna spaziatura1"/>
    <w:next w:val="Nessunaspaziatura"/>
    <w:uiPriority w:val="1"/>
    <w:rsid w:val="00762073"/>
    <w:pPr>
      <w:spacing w:after="0"/>
    </w:pPr>
  </w:style>
  <w:style w:type="character" w:customStyle="1" w:styleId="SOTTOPARAGRAFO2Carattere">
    <w:name w:val="SOTTOPARAGRAFO 2 Carattere"/>
    <w:basedOn w:val="Carpredefinitoparagrafo"/>
    <w:link w:val="SOTTOPARAGRAFO2"/>
    <w:rsid w:val="00762073"/>
    <w:rPr>
      <w:rFonts w:ascii="Times New Roman" w:hAnsi="Times New Roman" w:cs="Times New Roman"/>
      <w:b/>
      <w:i/>
      <w:sz w:val="24"/>
      <w:szCs w:val="24"/>
    </w:rPr>
  </w:style>
  <w:style w:type="paragraph" w:customStyle="1" w:styleId="Sommario51">
    <w:name w:val="Sommario 51"/>
    <w:basedOn w:val="Normale"/>
    <w:next w:val="Normale"/>
    <w:autoRedefine/>
    <w:uiPriority w:val="39"/>
    <w:semiHidden/>
    <w:unhideWhenUsed/>
    <w:rsid w:val="00762073"/>
    <w:pPr>
      <w:spacing w:after="100" w:line="259" w:lineRule="auto"/>
      <w:ind w:left="880"/>
    </w:pPr>
    <w:rPr>
      <w:b/>
    </w:rPr>
  </w:style>
  <w:style w:type="paragraph" w:customStyle="1" w:styleId="Testonotaapidipagina1">
    <w:name w:val="Testo nota a piè di pagina1"/>
    <w:basedOn w:val="Normale"/>
    <w:next w:val="Testonotaapidipagina"/>
    <w:link w:val="TestonotaapidipaginaCarattere"/>
    <w:uiPriority w:val="99"/>
    <w:semiHidden/>
    <w:unhideWhenUsed/>
    <w:rsid w:val="00762073"/>
    <w:pPr>
      <w:spacing w:after="0"/>
    </w:pPr>
    <w:rPr>
      <w:sz w:val="20"/>
      <w:szCs w:val="20"/>
    </w:rPr>
  </w:style>
  <w:style w:type="character" w:customStyle="1" w:styleId="TestonotaapidipaginaCarattere">
    <w:name w:val="Testo nota a piè di pagina Carattere"/>
    <w:basedOn w:val="Carpredefinitoparagrafo"/>
    <w:link w:val="Testonotaapidipagina1"/>
    <w:uiPriority w:val="99"/>
    <w:semiHidden/>
    <w:rsid w:val="00762073"/>
    <w:rPr>
      <w:sz w:val="20"/>
      <w:szCs w:val="20"/>
    </w:rPr>
  </w:style>
  <w:style w:type="character" w:styleId="Rimandonotaapidipagina">
    <w:name w:val="footnote reference"/>
    <w:basedOn w:val="Carpredefinitoparagrafo"/>
    <w:uiPriority w:val="99"/>
    <w:semiHidden/>
    <w:unhideWhenUsed/>
    <w:rsid w:val="00762073"/>
    <w:rPr>
      <w:vertAlign w:val="superscript"/>
    </w:rPr>
  </w:style>
  <w:style w:type="character" w:styleId="Titolodellibro">
    <w:name w:val="Book Title"/>
    <w:basedOn w:val="Carpredefinitoparagrafo"/>
    <w:uiPriority w:val="33"/>
    <w:rsid w:val="00762073"/>
    <w:rPr>
      <w:b/>
      <w:bCs/>
      <w:i/>
      <w:iCs/>
      <w:spacing w:val="5"/>
    </w:rPr>
  </w:style>
  <w:style w:type="paragraph" w:customStyle="1" w:styleId="Titoletto">
    <w:name w:val="Titoletto"/>
    <w:basedOn w:val="Paragrafoelenco"/>
    <w:link w:val="TitolettoCarattere"/>
    <w:rsid w:val="00762073"/>
    <w:pPr>
      <w:numPr>
        <w:numId w:val="5"/>
      </w:numPr>
      <w:spacing w:after="160" w:line="259" w:lineRule="auto"/>
      <w:jc w:val="both"/>
    </w:pPr>
    <w:rPr>
      <w:sz w:val="24"/>
      <w:szCs w:val="24"/>
    </w:rPr>
  </w:style>
  <w:style w:type="paragraph" w:customStyle="1" w:styleId="Elencolettere">
    <w:name w:val="Elenco_lettere"/>
    <w:basedOn w:val="Paragrafoelenco"/>
    <w:link w:val="ElencolettereCarattere"/>
    <w:rsid w:val="00762073"/>
    <w:pPr>
      <w:numPr>
        <w:numId w:val="4"/>
      </w:numPr>
      <w:spacing w:after="160" w:line="259" w:lineRule="auto"/>
      <w:jc w:val="both"/>
    </w:pPr>
    <w:rPr>
      <w:b/>
    </w:rPr>
  </w:style>
  <w:style w:type="character" w:customStyle="1" w:styleId="ParagrafoelencoCarattere">
    <w:name w:val="Paragrafo elenco Carattere"/>
    <w:aliases w:val="PARAGRAFO Carattere"/>
    <w:basedOn w:val="Carpredefinitoparagrafo"/>
    <w:link w:val="Paragrafoelenco"/>
    <w:uiPriority w:val="34"/>
    <w:rsid w:val="00762073"/>
  </w:style>
  <w:style w:type="character" w:customStyle="1" w:styleId="TitolettoCarattere">
    <w:name w:val="Titoletto Carattere"/>
    <w:basedOn w:val="ParagrafoelencoCarattere"/>
    <w:link w:val="Titoletto"/>
    <w:rsid w:val="00762073"/>
    <w:rPr>
      <w:sz w:val="24"/>
      <w:szCs w:val="24"/>
    </w:rPr>
  </w:style>
  <w:style w:type="character" w:customStyle="1" w:styleId="ElencolettereCarattere">
    <w:name w:val="Elenco_lettere Carattere"/>
    <w:basedOn w:val="ParagrafoelencoCarattere"/>
    <w:link w:val="Elencolettere"/>
    <w:rsid w:val="00762073"/>
    <w:rPr>
      <w:b/>
    </w:rPr>
  </w:style>
  <w:style w:type="character" w:styleId="Enfasicorsivo">
    <w:name w:val="Emphasis"/>
    <w:basedOn w:val="Carpredefinitoparagrafo"/>
    <w:uiPriority w:val="20"/>
    <w:qFormat/>
    <w:rsid w:val="00762073"/>
    <w:rPr>
      <w:i/>
      <w:iCs/>
    </w:rPr>
  </w:style>
  <w:style w:type="paragraph" w:customStyle="1" w:styleId="NORMALE0">
    <w:name w:val="NORMALE"/>
    <w:basedOn w:val="Normale"/>
    <w:link w:val="NORMALECarattere"/>
    <w:qFormat/>
    <w:rsid w:val="00762073"/>
    <w:pPr>
      <w:spacing w:after="160" w:line="259" w:lineRule="auto"/>
      <w:jc w:val="both"/>
    </w:pPr>
    <w:rPr>
      <w:rFonts w:ascii="Times New Roman" w:hAnsi="Times New Roman" w:cs="Times New Roman"/>
    </w:rPr>
  </w:style>
  <w:style w:type="character" w:customStyle="1" w:styleId="NORMALECarattere">
    <w:name w:val="NORMALE Carattere"/>
    <w:basedOn w:val="Carpredefinitoparagrafo"/>
    <w:link w:val="NORMALE0"/>
    <w:rsid w:val="00762073"/>
    <w:rPr>
      <w:rFonts w:ascii="Times New Roman" w:hAnsi="Times New Roman" w:cs="Times New Roman"/>
    </w:rPr>
  </w:style>
  <w:style w:type="paragraph" w:customStyle="1" w:styleId="grassetto">
    <w:name w:val="grassetto"/>
    <w:basedOn w:val="Normale"/>
    <w:rsid w:val="00762073"/>
    <w:pPr>
      <w:spacing w:before="100" w:beforeAutospacing="1" w:after="100" w:afterAutospacing="1"/>
    </w:pPr>
    <w:rPr>
      <w:rFonts w:ascii="Times New Roman" w:eastAsia="Times New Roman" w:hAnsi="Times New Roman" w:cs="Times New Roman"/>
      <w:sz w:val="24"/>
      <w:szCs w:val="24"/>
      <w:lang w:eastAsia="it-IT"/>
    </w:rPr>
  </w:style>
  <w:style w:type="table" w:customStyle="1" w:styleId="Stile1">
    <w:name w:val="Stile1"/>
    <w:basedOn w:val="Tabellanormale"/>
    <w:uiPriority w:val="99"/>
    <w:qFormat/>
    <w:rsid w:val="00762073"/>
    <w:pPr>
      <w:spacing w:after="0"/>
    </w:pPr>
    <w:tblPr>
      <w:tblBorders>
        <w:top w:val="single" w:sz="4" w:space="0" w:color="auto"/>
        <w:left w:val="single" w:sz="4" w:space="0" w:color="auto"/>
        <w:bottom w:val="single" w:sz="4" w:space="0" w:color="auto"/>
        <w:right w:val="single" w:sz="4" w:space="0" w:color="auto"/>
      </w:tblBorders>
    </w:tblPr>
  </w:style>
  <w:style w:type="character" w:customStyle="1" w:styleId="field-content">
    <w:name w:val="field-content"/>
    <w:basedOn w:val="Carpredefinitoparagrafo"/>
    <w:rsid w:val="00762073"/>
  </w:style>
  <w:style w:type="character" w:styleId="Rimandocommento">
    <w:name w:val="annotation reference"/>
    <w:basedOn w:val="Carpredefinitoparagrafo"/>
    <w:uiPriority w:val="99"/>
    <w:semiHidden/>
    <w:unhideWhenUsed/>
    <w:rsid w:val="00762073"/>
    <w:rPr>
      <w:sz w:val="16"/>
      <w:szCs w:val="16"/>
    </w:rPr>
  </w:style>
  <w:style w:type="character" w:customStyle="1" w:styleId="Titolo4Carattere1">
    <w:name w:val="Titolo 4 Carattere1"/>
    <w:basedOn w:val="Carpredefinitoparagrafo"/>
    <w:uiPriority w:val="9"/>
    <w:semiHidden/>
    <w:rsid w:val="00762073"/>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59"/>
    <w:rsid w:val="0076207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1"/>
    <w:uiPriority w:val="99"/>
    <w:semiHidden/>
    <w:unhideWhenUsed/>
    <w:rsid w:val="00762073"/>
    <w:pPr>
      <w:spacing w:after="0"/>
    </w:pPr>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rsid w:val="00762073"/>
    <w:rPr>
      <w:rFonts w:ascii="Segoe UI" w:hAnsi="Segoe UI" w:cs="Segoe UI"/>
      <w:sz w:val="18"/>
      <w:szCs w:val="18"/>
    </w:rPr>
  </w:style>
  <w:style w:type="paragraph" w:styleId="Testocommento">
    <w:name w:val="annotation text"/>
    <w:basedOn w:val="Normale"/>
    <w:link w:val="TestocommentoCarattere1"/>
    <w:uiPriority w:val="99"/>
    <w:unhideWhenUsed/>
    <w:rsid w:val="00762073"/>
    <w:rPr>
      <w:sz w:val="20"/>
      <w:szCs w:val="20"/>
    </w:rPr>
  </w:style>
  <w:style w:type="character" w:customStyle="1" w:styleId="TestocommentoCarattere1">
    <w:name w:val="Testo commento Carattere1"/>
    <w:basedOn w:val="Carpredefinitoparagrafo"/>
    <w:link w:val="Testocommento"/>
    <w:uiPriority w:val="99"/>
    <w:rsid w:val="00762073"/>
    <w:rPr>
      <w:sz w:val="20"/>
      <w:szCs w:val="20"/>
    </w:rPr>
  </w:style>
  <w:style w:type="paragraph" w:styleId="Soggettocommento">
    <w:name w:val="annotation subject"/>
    <w:basedOn w:val="Testocommento"/>
    <w:next w:val="Testocommento"/>
    <w:link w:val="SoggettocommentoCarattere"/>
    <w:uiPriority w:val="99"/>
    <w:semiHidden/>
    <w:unhideWhenUsed/>
    <w:rsid w:val="00762073"/>
    <w:rPr>
      <w:b/>
      <w:bCs/>
    </w:rPr>
  </w:style>
  <w:style w:type="character" w:customStyle="1" w:styleId="SoggettocommentoCarattere1">
    <w:name w:val="Soggetto commento Carattere1"/>
    <w:basedOn w:val="TestocommentoCarattere1"/>
    <w:uiPriority w:val="99"/>
    <w:semiHidden/>
    <w:rsid w:val="00762073"/>
    <w:rPr>
      <w:b/>
      <w:bCs/>
      <w:sz w:val="20"/>
      <w:szCs w:val="20"/>
    </w:rPr>
  </w:style>
  <w:style w:type="paragraph" w:styleId="Nessunaspaziatura">
    <w:name w:val="No Spacing"/>
    <w:uiPriority w:val="1"/>
    <w:qFormat/>
    <w:rsid w:val="00762073"/>
    <w:pPr>
      <w:spacing w:after="0"/>
    </w:pPr>
  </w:style>
  <w:style w:type="paragraph" w:styleId="Testonotaapidipagina">
    <w:name w:val="footnote text"/>
    <w:basedOn w:val="Normale"/>
    <w:link w:val="TestonotaapidipaginaCarattere1"/>
    <w:uiPriority w:val="99"/>
    <w:semiHidden/>
    <w:unhideWhenUsed/>
    <w:rsid w:val="00762073"/>
    <w:pPr>
      <w:spacing w:after="0"/>
    </w:pPr>
    <w:rPr>
      <w:sz w:val="20"/>
      <w:szCs w:val="20"/>
    </w:rPr>
  </w:style>
  <w:style w:type="character" w:customStyle="1" w:styleId="TestonotaapidipaginaCarattere1">
    <w:name w:val="Testo nota a piè di pagina Carattere1"/>
    <w:basedOn w:val="Carpredefinitoparagrafo"/>
    <w:link w:val="Testonotaapidipagina"/>
    <w:uiPriority w:val="99"/>
    <w:semiHidden/>
    <w:rsid w:val="00762073"/>
    <w:rPr>
      <w:sz w:val="20"/>
      <w:szCs w:val="20"/>
    </w:rPr>
  </w:style>
  <w:style w:type="paragraph" w:styleId="Sommario4">
    <w:name w:val="toc 4"/>
    <w:basedOn w:val="Normale"/>
    <w:next w:val="Normale"/>
    <w:autoRedefine/>
    <w:uiPriority w:val="39"/>
    <w:unhideWhenUsed/>
    <w:rsid w:val="00E30F2E"/>
    <w:pPr>
      <w:tabs>
        <w:tab w:val="right" w:leader="dot" w:pos="9628"/>
      </w:tabs>
      <w:spacing w:after="100" w:line="259" w:lineRule="auto"/>
    </w:pPr>
    <w:rPr>
      <w:rFonts w:ascii="Garamond" w:eastAsia="Calibri" w:hAnsi="Garamond"/>
      <w:i/>
      <w:iCs/>
      <w:noProof/>
      <w:sz w:val="24"/>
      <w:szCs w:val="24"/>
      <w:lang w:eastAsia="it-IT"/>
    </w:rPr>
  </w:style>
  <w:style w:type="paragraph" w:styleId="Sommario5">
    <w:name w:val="toc 5"/>
    <w:basedOn w:val="Normale"/>
    <w:next w:val="Normale"/>
    <w:autoRedefine/>
    <w:uiPriority w:val="39"/>
    <w:unhideWhenUsed/>
    <w:rsid w:val="002765AB"/>
    <w:pPr>
      <w:spacing w:after="100" w:line="259" w:lineRule="auto"/>
      <w:ind w:left="880"/>
    </w:pPr>
    <w:rPr>
      <w:rFonts w:eastAsiaTheme="minorEastAsia"/>
      <w:lang w:eastAsia="it-IT"/>
    </w:rPr>
  </w:style>
  <w:style w:type="paragraph" w:styleId="Sommario6">
    <w:name w:val="toc 6"/>
    <w:basedOn w:val="Normale"/>
    <w:next w:val="Normale"/>
    <w:autoRedefine/>
    <w:uiPriority w:val="39"/>
    <w:unhideWhenUsed/>
    <w:rsid w:val="002765AB"/>
    <w:pPr>
      <w:spacing w:after="100" w:line="259" w:lineRule="auto"/>
      <w:ind w:left="1100"/>
    </w:pPr>
    <w:rPr>
      <w:rFonts w:eastAsiaTheme="minorEastAsia"/>
      <w:lang w:eastAsia="it-IT"/>
    </w:rPr>
  </w:style>
  <w:style w:type="paragraph" w:styleId="Sommario7">
    <w:name w:val="toc 7"/>
    <w:basedOn w:val="Normale"/>
    <w:next w:val="Normale"/>
    <w:autoRedefine/>
    <w:uiPriority w:val="39"/>
    <w:unhideWhenUsed/>
    <w:rsid w:val="002765AB"/>
    <w:pPr>
      <w:spacing w:after="100" w:line="259" w:lineRule="auto"/>
      <w:ind w:left="1320"/>
    </w:pPr>
    <w:rPr>
      <w:rFonts w:eastAsiaTheme="minorEastAsia"/>
      <w:lang w:eastAsia="it-IT"/>
    </w:rPr>
  </w:style>
  <w:style w:type="paragraph" w:styleId="Sommario8">
    <w:name w:val="toc 8"/>
    <w:basedOn w:val="Normale"/>
    <w:next w:val="Normale"/>
    <w:autoRedefine/>
    <w:uiPriority w:val="39"/>
    <w:unhideWhenUsed/>
    <w:rsid w:val="002765AB"/>
    <w:pPr>
      <w:spacing w:after="100" w:line="259" w:lineRule="auto"/>
      <w:ind w:left="1540"/>
    </w:pPr>
    <w:rPr>
      <w:rFonts w:eastAsiaTheme="minorEastAsia"/>
      <w:lang w:eastAsia="it-IT"/>
    </w:rPr>
  </w:style>
  <w:style w:type="paragraph" w:styleId="Sommario9">
    <w:name w:val="toc 9"/>
    <w:basedOn w:val="Normale"/>
    <w:next w:val="Normale"/>
    <w:autoRedefine/>
    <w:uiPriority w:val="39"/>
    <w:unhideWhenUsed/>
    <w:rsid w:val="002765AB"/>
    <w:pPr>
      <w:spacing w:after="100" w:line="259" w:lineRule="auto"/>
      <w:ind w:left="1760"/>
    </w:pPr>
    <w:rPr>
      <w:rFonts w:eastAsiaTheme="minorEastAsia"/>
      <w:lang w:eastAsia="it-IT"/>
    </w:rPr>
  </w:style>
  <w:style w:type="character" w:customStyle="1" w:styleId="Menzionenonrisolta2">
    <w:name w:val="Menzione non risolta2"/>
    <w:basedOn w:val="Carpredefinitoparagrafo"/>
    <w:uiPriority w:val="99"/>
    <w:semiHidden/>
    <w:unhideWhenUsed/>
    <w:rsid w:val="002765AB"/>
    <w:rPr>
      <w:color w:val="605E5C"/>
      <w:shd w:val="clear" w:color="auto" w:fill="E1DFDD"/>
    </w:rPr>
  </w:style>
  <w:style w:type="paragraph" w:styleId="Didascalia">
    <w:name w:val="caption"/>
    <w:basedOn w:val="Normale"/>
    <w:next w:val="Normale"/>
    <w:uiPriority w:val="35"/>
    <w:unhideWhenUsed/>
    <w:qFormat/>
    <w:rsid w:val="00DF23EC"/>
    <w:rPr>
      <w:b/>
      <w:bCs/>
      <w:color w:val="4F81BD" w:themeColor="accent1"/>
      <w:sz w:val="18"/>
      <w:szCs w:val="18"/>
    </w:rPr>
  </w:style>
  <w:style w:type="paragraph" w:styleId="Titolo">
    <w:name w:val="Title"/>
    <w:basedOn w:val="Normale"/>
    <w:next w:val="Normale"/>
    <w:link w:val="TitoloCarattere"/>
    <w:uiPriority w:val="10"/>
    <w:qFormat/>
    <w:rsid w:val="00D83B97"/>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83B97"/>
    <w:rPr>
      <w:rFonts w:asciiTheme="majorHAnsi" w:eastAsiaTheme="majorEastAsia" w:hAnsiTheme="majorHAnsi" w:cstheme="majorBidi"/>
      <w:spacing w:val="-10"/>
      <w:kern w:val="28"/>
      <w:sz w:val="56"/>
      <w:szCs w:val="56"/>
    </w:rPr>
  </w:style>
  <w:style w:type="character" w:styleId="Collegamentovisitato">
    <w:name w:val="FollowedHyperlink"/>
    <w:basedOn w:val="Carpredefinitoparagrafo"/>
    <w:uiPriority w:val="99"/>
    <w:semiHidden/>
    <w:unhideWhenUsed/>
    <w:rsid w:val="000C5719"/>
    <w:rPr>
      <w:color w:val="800080" w:themeColor="followedHyperlink"/>
      <w:u w:val="single"/>
    </w:rPr>
  </w:style>
  <w:style w:type="character" w:customStyle="1" w:styleId="Menzionenonrisolta3">
    <w:name w:val="Menzione non risolta3"/>
    <w:basedOn w:val="Carpredefinitoparagrafo"/>
    <w:uiPriority w:val="99"/>
    <w:semiHidden/>
    <w:unhideWhenUsed/>
    <w:rsid w:val="00057AFB"/>
    <w:rPr>
      <w:color w:val="605E5C"/>
      <w:shd w:val="clear" w:color="auto" w:fill="E1DFDD"/>
    </w:rPr>
  </w:style>
  <w:style w:type="paragraph" w:styleId="Corpotesto">
    <w:name w:val="Body Text"/>
    <w:basedOn w:val="Normale"/>
    <w:link w:val="CorpotestoCarattere"/>
    <w:uiPriority w:val="99"/>
    <w:rsid w:val="00756660"/>
    <w:pPr>
      <w:spacing w:after="120"/>
    </w:pPr>
    <w:rPr>
      <w:rFonts w:ascii="Calibri" w:eastAsia="Times New Roman" w:hAnsi="Calibri" w:cs="Times New Roman"/>
    </w:rPr>
  </w:style>
  <w:style w:type="character" w:customStyle="1" w:styleId="CorpotestoCarattere">
    <w:name w:val="Corpo testo Carattere"/>
    <w:basedOn w:val="Carpredefinitoparagrafo"/>
    <w:link w:val="Corpotesto"/>
    <w:uiPriority w:val="99"/>
    <w:rsid w:val="00756660"/>
    <w:rPr>
      <w:rFonts w:ascii="Calibri" w:eastAsia="Times New Roman" w:hAnsi="Calibri" w:cs="Times New Roman"/>
    </w:rPr>
  </w:style>
  <w:style w:type="character" w:customStyle="1" w:styleId="Menzionenonrisolta4">
    <w:name w:val="Menzione non risolta4"/>
    <w:basedOn w:val="Carpredefinitoparagrafo"/>
    <w:uiPriority w:val="99"/>
    <w:semiHidden/>
    <w:unhideWhenUsed/>
    <w:rsid w:val="008F700D"/>
    <w:rPr>
      <w:color w:val="605E5C"/>
      <w:shd w:val="clear" w:color="auto" w:fill="E1DFDD"/>
    </w:rPr>
  </w:style>
  <w:style w:type="character" w:customStyle="1" w:styleId="Menzionenonrisolta5">
    <w:name w:val="Menzione non risolta5"/>
    <w:basedOn w:val="Carpredefinitoparagrafo"/>
    <w:uiPriority w:val="99"/>
    <w:semiHidden/>
    <w:unhideWhenUsed/>
    <w:rsid w:val="00B116E2"/>
    <w:rPr>
      <w:color w:val="605E5C"/>
      <w:shd w:val="clear" w:color="auto" w:fill="E1DFDD"/>
    </w:rPr>
  </w:style>
  <w:style w:type="table" w:customStyle="1" w:styleId="Grigliatabella11">
    <w:name w:val="Griglia tabella11"/>
    <w:basedOn w:val="Tabellanormale"/>
    <w:next w:val="Grigliatabella"/>
    <w:uiPriority w:val="39"/>
    <w:rsid w:val="001C1F9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e11">
    <w:name w:val="Stile11"/>
    <w:basedOn w:val="Tabellanormale"/>
    <w:uiPriority w:val="99"/>
    <w:qFormat/>
    <w:rsid w:val="001C1F99"/>
    <w:pPr>
      <w:spacing w:after="0"/>
    </w:pPr>
    <w:tblPr>
      <w:tblBorders>
        <w:top w:val="single" w:sz="4" w:space="0" w:color="auto"/>
        <w:left w:val="single" w:sz="4" w:space="0" w:color="auto"/>
        <w:bottom w:val="single" w:sz="4" w:space="0" w:color="auto"/>
        <w:right w:val="single" w:sz="4" w:space="0" w:color="auto"/>
      </w:tblBorders>
    </w:tblPr>
  </w:style>
  <w:style w:type="table" w:customStyle="1" w:styleId="Grigliatabella112">
    <w:name w:val="Griglia tabella112"/>
    <w:basedOn w:val="Tabellanormale"/>
    <w:next w:val="Grigliatabella"/>
    <w:uiPriority w:val="39"/>
    <w:rsid w:val="00E62C8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e112">
    <w:name w:val="Stile112"/>
    <w:basedOn w:val="Tabellanormale"/>
    <w:uiPriority w:val="99"/>
    <w:qFormat/>
    <w:rsid w:val="00E62C85"/>
    <w:pPr>
      <w:spacing w:after="0"/>
    </w:pPr>
    <w:tblPr>
      <w:tblBorders>
        <w:top w:val="single" w:sz="4" w:space="0" w:color="auto"/>
        <w:left w:val="single" w:sz="4" w:space="0" w:color="auto"/>
        <w:bottom w:val="single" w:sz="4" w:space="0" w:color="auto"/>
        <w:right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38130">
      <w:bodyDiv w:val="1"/>
      <w:marLeft w:val="0"/>
      <w:marRight w:val="0"/>
      <w:marTop w:val="0"/>
      <w:marBottom w:val="0"/>
      <w:divBdr>
        <w:top w:val="none" w:sz="0" w:space="0" w:color="auto"/>
        <w:left w:val="none" w:sz="0" w:space="0" w:color="auto"/>
        <w:bottom w:val="none" w:sz="0" w:space="0" w:color="auto"/>
        <w:right w:val="none" w:sz="0" w:space="0" w:color="auto"/>
      </w:divBdr>
    </w:div>
    <w:div w:id="470292484">
      <w:bodyDiv w:val="1"/>
      <w:marLeft w:val="0"/>
      <w:marRight w:val="0"/>
      <w:marTop w:val="0"/>
      <w:marBottom w:val="0"/>
      <w:divBdr>
        <w:top w:val="none" w:sz="0" w:space="0" w:color="auto"/>
        <w:left w:val="none" w:sz="0" w:space="0" w:color="auto"/>
        <w:bottom w:val="none" w:sz="0" w:space="0" w:color="auto"/>
        <w:right w:val="none" w:sz="0" w:space="0" w:color="auto"/>
      </w:divBdr>
    </w:div>
    <w:div w:id="1197161419">
      <w:bodyDiv w:val="1"/>
      <w:marLeft w:val="0"/>
      <w:marRight w:val="0"/>
      <w:marTop w:val="0"/>
      <w:marBottom w:val="0"/>
      <w:divBdr>
        <w:top w:val="none" w:sz="0" w:space="0" w:color="auto"/>
        <w:left w:val="none" w:sz="0" w:space="0" w:color="auto"/>
        <w:bottom w:val="none" w:sz="0" w:space="0" w:color="auto"/>
        <w:right w:val="none" w:sz="0" w:space="0" w:color="auto"/>
      </w:divBdr>
    </w:div>
    <w:div w:id="1240360471">
      <w:bodyDiv w:val="1"/>
      <w:marLeft w:val="0"/>
      <w:marRight w:val="0"/>
      <w:marTop w:val="0"/>
      <w:marBottom w:val="0"/>
      <w:divBdr>
        <w:top w:val="none" w:sz="0" w:space="0" w:color="auto"/>
        <w:left w:val="none" w:sz="0" w:space="0" w:color="auto"/>
        <w:bottom w:val="none" w:sz="0" w:space="0" w:color="auto"/>
        <w:right w:val="none" w:sz="0" w:space="0" w:color="auto"/>
      </w:divBdr>
    </w:div>
    <w:div w:id="1277054335">
      <w:bodyDiv w:val="1"/>
      <w:marLeft w:val="0"/>
      <w:marRight w:val="0"/>
      <w:marTop w:val="0"/>
      <w:marBottom w:val="0"/>
      <w:divBdr>
        <w:top w:val="none" w:sz="0" w:space="0" w:color="auto"/>
        <w:left w:val="none" w:sz="0" w:space="0" w:color="auto"/>
        <w:bottom w:val="none" w:sz="0" w:space="0" w:color="auto"/>
        <w:right w:val="none" w:sz="0" w:space="0" w:color="auto"/>
      </w:divBdr>
    </w:div>
    <w:div w:id="1429733738">
      <w:bodyDiv w:val="1"/>
      <w:marLeft w:val="0"/>
      <w:marRight w:val="0"/>
      <w:marTop w:val="0"/>
      <w:marBottom w:val="0"/>
      <w:divBdr>
        <w:top w:val="none" w:sz="0" w:space="0" w:color="auto"/>
        <w:left w:val="none" w:sz="0" w:space="0" w:color="auto"/>
        <w:bottom w:val="none" w:sz="0" w:space="0" w:color="auto"/>
        <w:right w:val="none" w:sz="0" w:space="0" w:color="auto"/>
      </w:divBdr>
    </w:div>
    <w:div w:id="1516571877">
      <w:bodyDiv w:val="1"/>
      <w:marLeft w:val="0"/>
      <w:marRight w:val="0"/>
      <w:marTop w:val="0"/>
      <w:marBottom w:val="0"/>
      <w:divBdr>
        <w:top w:val="none" w:sz="0" w:space="0" w:color="auto"/>
        <w:left w:val="none" w:sz="0" w:space="0" w:color="auto"/>
        <w:bottom w:val="none" w:sz="0" w:space="0" w:color="auto"/>
        <w:right w:val="none" w:sz="0" w:space="0" w:color="auto"/>
      </w:divBdr>
    </w:div>
    <w:div w:id="1679114525">
      <w:bodyDiv w:val="1"/>
      <w:marLeft w:val="0"/>
      <w:marRight w:val="0"/>
      <w:marTop w:val="0"/>
      <w:marBottom w:val="0"/>
      <w:divBdr>
        <w:top w:val="none" w:sz="0" w:space="0" w:color="auto"/>
        <w:left w:val="none" w:sz="0" w:space="0" w:color="auto"/>
        <w:bottom w:val="none" w:sz="0" w:space="0" w:color="auto"/>
        <w:right w:val="none" w:sz="0" w:space="0" w:color="auto"/>
      </w:divBdr>
    </w:div>
    <w:div w:id="1850874503">
      <w:bodyDiv w:val="1"/>
      <w:marLeft w:val="0"/>
      <w:marRight w:val="0"/>
      <w:marTop w:val="0"/>
      <w:marBottom w:val="0"/>
      <w:divBdr>
        <w:top w:val="none" w:sz="0" w:space="0" w:color="auto"/>
        <w:left w:val="none" w:sz="0" w:space="0" w:color="auto"/>
        <w:bottom w:val="none" w:sz="0" w:space="0" w:color="auto"/>
        <w:right w:val="none" w:sz="0" w:space="0" w:color="auto"/>
      </w:divBdr>
    </w:div>
    <w:div w:id="1979526000">
      <w:bodyDiv w:val="1"/>
      <w:marLeft w:val="0"/>
      <w:marRight w:val="0"/>
      <w:marTop w:val="0"/>
      <w:marBottom w:val="0"/>
      <w:divBdr>
        <w:top w:val="none" w:sz="0" w:space="0" w:color="auto"/>
        <w:left w:val="none" w:sz="0" w:space="0" w:color="auto"/>
        <w:bottom w:val="none" w:sz="0" w:space="0" w:color="auto"/>
        <w:right w:val="none" w:sz="0" w:space="0" w:color="auto"/>
      </w:divBdr>
    </w:div>
    <w:div w:id="2033653251">
      <w:bodyDiv w:val="1"/>
      <w:marLeft w:val="0"/>
      <w:marRight w:val="0"/>
      <w:marTop w:val="0"/>
      <w:marBottom w:val="0"/>
      <w:divBdr>
        <w:top w:val="none" w:sz="0" w:space="0" w:color="auto"/>
        <w:left w:val="none" w:sz="0" w:space="0" w:color="auto"/>
        <w:bottom w:val="none" w:sz="0" w:space="0" w:color="auto"/>
        <w:right w:val="none" w:sz="0" w:space="0" w:color="auto"/>
      </w:divBdr>
    </w:div>
    <w:div w:id="206755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regione.abruzzo.it/content/amministrazione-trasparente" TargetMode="Externa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nticorruzione.regione.abruzzo.it" TargetMode="External"/><Relationship Id="rId17" Type="http://schemas.openxmlformats.org/officeDocument/2006/relationships/hyperlink" Target="file://I:\CONTROLLI%20E%20ANTICORRUZIONE\ANTICORRUZIONE\prot.n.0083964\22%20del%2003\03\2022&#160;sono%20stati%20forniti%20ulteriori%20indirizzi%20e%20precisazioni.%20Tutta%20la%20Documentazione%20suddetta%20&#232;%20consultabile%20nella%20Sezione%20Amministrazione%20Trasparente.%20(https:\www.regione.abruzzo.it\content\circolari-e-direttive-del-responsabile-della-prevenzione-della-corruzione-e-della-trasparenza)" TargetMode="External"/><Relationship Id="rId2" Type="http://schemas.openxmlformats.org/officeDocument/2006/relationships/numbering" Target="numbering.xml"/><Relationship Id="rId16" Type="http://schemas.openxmlformats.org/officeDocument/2006/relationships/hyperlink" Target="https://www.garanteprivacy.it/regolamentou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garanteprivacy.it/regolamentoue"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regione.abruzzo.it/content/controlli-e-rilievi-sullamministrazione" TargetMode="External"/><Relationship Id="rId27" Type="http://schemas.microsoft.com/office/2016/09/relationships/commentsIds" Target="commentsId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4DF61-88E5-4DFD-9FB7-A3DB25509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49</Pages>
  <Words>28916</Words>
  <Characters>164823</Characters>
  <Application>Microsoft Office Word</Application>
  <DocSecurity>0</DocSecurity>
  <Lines>1373</Lines>
  <Paragraphs>386</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193353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Elena</dc:creator>
  <cp:lastModifiedBy>Gianluca Marchetti</cp:lastModifiedBy>
  <cp:revision>5</cp:revision>
  <cp:lastPrinted>2022-04-29T06:43:00Z</cp:lastPrinted>
  <dcterms:created xsi:type="dcterms:W3CDTF">2023-01-18T18:04:00Z</dcterms:created>
  <dcterms:modified xsi:type="dcterms:W3CDTF">2023-01-19T08:39:00Z</dcterms:modified>
</cp:coreProperties>
</file>